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sz w:val="36"/>
          <w:szCs w:val="36"/>
        </w:rPr>
      </w:pPr>
      <w:commentRangeStart w:id="0"/>
      <w:r>
        <w:rPr>
          <w:rFonts w:ascii="Times New Roman" w:hAnsi="Times New Roman" w:cs="Times New Roman"/>
          <w:sz w:val="36"/>
          <w:szCs w:val="36"/>
        </w:rPr>
        <w:t>Intergenerational Education Transmission in China: The gender dimension</w:t>
      </w:r>
      <w:r>
        <w:rPr>
          <w:rStyle w:val="15"/>
        </w:rPr>
        <w:footnoteReference w:id="0" w:customMarkFollows="1"/>
        <w:t>*</w:t>
      </w:r>
      <w:commentRangeEnd w:id="0"/>
      <w:r>
        <w:commentReference w:id="0"/>
      </w:r>
    </w:p>
    <w:p>
      <w:pPr>
        <w:jc w:val="center"/>
        <w:rPr>
          <w:rFonts w:ascii="Times New Roman" w:hAnsi="Times New Roman" w:cs="Times New Roman"/>
          <w:sz w:val="24"/>
          <w:szCs w:val="24"/>
        </w:rPr>
      </w:pPr>
      <w:commentRangeStart w:id="1"/>
      <w:r>
        <w:rPr>
          <w:rFonts w:ascii="Times New Roman" w:hAnsi="Times New Roman" w:cs="Times New Roman"/>
          <w:sz w:val="24"/>
          <w:szCs w:val="24"/>
        </w:rPr>
        <w:t>Author A, Author B</w:t>
      </w:r>
      <w:commentRangeEnd w:id="1"/>
      <w:r>
        <w:commentReference w:id="1"/>
      </w:r>
    </w:p>
    <w:p>
      <w:pPr>
        <w:jc w:val="both"/>
        <w:rPr>
          <w:rFonts w:ascii="Times New Roman" w:hAnsi="Times New Roman" w:cs="Times New Roman"/>
          <w:b/>
          <w:bCs/>
          <w:sz w:val="28"/>
          <w:szCs w:val="28"/>
        </w:rPr>
      </w:pPr>
    </w:p>
    <w:p>
      <w:pPr>
        <w:jc w:val="both"/>
        <w:rPr>
          <w:rFonts w:ascii="Times New Roman" w:hAnsi="Times New Roman" w:cs="Times New Roman"/>
          <w:b/>
          <w:bCs/>
          <w:sz w:val="28"/>
          <w:szCs w:val="28"/>
        </w:rPr>
      </w:pPr>
      <w:r>
        <w:rPr>
          <w:rFonts w:ascii="Times New Roman" w:hAnsi="Times New Roman" w:cs="Times New Roman"/>
          <w:b/>
          <w:bCs/>
          <w:sz w:val="28"/>
          <w:szCs w:val="28"/>
        </w:rPr>
        <w:t xml:space="preserve">Abstract </w:t>
      </w:r>
    </w:p>
    <w:p>
      <w:pPr>
        <w:jc w:val="both"/>
        <w:rPr>
          <w:rFonts w:ascii="Times New Roman" w:hAnsi="Times New Roman" w:cs="Times New Roman"/>
          <w:bCs/>
          <w:sz w:val="24"/>
          <w:szCs w:val="24"/>
          <w:lang w:val="en-US"/>
        </w:rPr>
      </w:pPr>
      <w:commentRangeStart w:id="2"/>
      <w:r>
        <w:rPr>
          <w:rFonts w:ascii="Times New Roman" w:hAnsi="Times New Roman" w:eastAsia="宋体" w:cs="Times New Roman"/>
          <w:kern w:val="2"/>
          <w:sz w:val="24"/>
          <w:szCs w:val="24"/>
          <w:lang w:val="en-US"/>
        </w:rPr>
        <w:t>This</w:t>
      </w:r>
      <w:r>
        <w:rPr>
          <w:rFonts w:ascii="Times New Roman" w:hAnsi="Times New Roman" w:cs="Times New Roman"/>
          <w:bCs/>
          <w:sz w:val="24"/>
          <w:szCs w:val="24"/>
        </w:rPr>
        <w:t xml:space="preserve"> paper explores gender differences in intergenerational patterns of education attainment in China.</w:t>
      </w:r>
      <w:r>
        <w:rPr>
          <w:rFonts w:hint="eastAsia" w:ascii="Times New Roman" w:hAnsi="Times New Roman" w:cs="Times New Roman"/>
          <w:bCs/>
          <w:sz w:val="24"/>
          <w:szCs w:val="24"/>
        </w:rPr>
        <w:t xml:space="preserve"> </w:t>
      </w:r>
      <w:r>
        <w:rPr>
          <w:rFonts w:ascii="Times New Roman" w:hAnsi="Times New Roman" w:cs="Times New Roman"/>
          <w:bCs/>
          <w:sz w:val="24"/>
          <w:szCs w:val="24"/>
        </w:rPr>
        <w:t>Using the China Family Panel Studies (CFPS) survey for 2016, we find that intergenerational ‘persistence’, as reflected in high regression and correlation coefficients between an individual’s and their parents’ education levels, is higher for females than males for the entire sample and for each of four age cohorts.</w:t>
      </w:r>
      <w:commentRangeEnd w:id="2"/>
      <w:r>
        <w:commentReference w:id="2"/>
      </w:r>
      <w:r>
        <w:rPr>
          <w:rFonts w:hint="eastAsia" w:ascii="Times New Roman" w:hAnsi="Times New Roman" w:cs="Times New Roman"/>
          <w:bCs/>
          <w:sz w:val="24"/>
          <w:szCs w:val="24"/>
          <w:lang w:val="en-US"/>
        </w:rPr>
        <w:t>······</w:t>
      </w:r>
    </w:p>
    <w:p>
      <w:pPr>
        <w:jc w:val="both"/>
        <w:rPr>
          <w:rFonts w:ascii="Times New Roman" w:hAnsi="Times New Roman" w:cs="Times New Roman"/>
          <w:b/>
          <w:bCs/>
          <w:sz w:val="28"/>
          <w:szCs w:val="28"/>
        </w:rPr>
      </w:pPr>
      <w:r>
        <w:rPr>
          <w:rFonts w:hint="eastAsia" w:ascii="Times New Roman" w:hAnsi="Times New Roman" w:cs="Times New Roman"/>
          <w:b/>
          <w:bCs/>
          <w:sz w:val="28"/>
          <w:szCs w:val="28"/>
        </w:rPr>
        <w:t>Keywords</w:t>
      </w:r>
      <w:r>
        <w:rPr>
          <w:rFonts w:ascii="Times New Roman" w:hAnsi="Times New Roman" w:cs="Times New Roman"/>
          <w:b/>
          <w:bCs/>
          <w:sz w:val="28"/>
          <w:szCs w:val="28"/>
        </w:rPr>
        <w:t xml:space="preserve"> </w:t>
      </w:r>
    </w:p>
    <w:p>
      <w:pPr>
        <w:jc w:val="both"/>
        <w:rPr>
          <w:rFonts w:ascii="Times New Roman" w:hAnsi="Times New Roman" w:cs="Times New Roman"/>
          <w:bCs/>
          <w:sz w:val="24"/>
          <w:szCs w:val="24"/>
        </w:rPr>
      </w:pPr>
      <w:commentRangeStart w:id="3"/>
      <w:r>
        <w:rPr>
          <w:rFonts w:hint="eastAsia" w:ascii="Times New Roman" w:hAnsi="Times New Roman" w:cs="Times New Roman"/>
          <w:bCs/>
          <w:sz w:val="24"/>
          <w:szCs w:val="24"/>
          <w:lang w:val="en-US"/>
        </w:rPr>
        <w:t>b</w:t>
      </w:r>
      <w:r>
        <w:rPr>
          <w:rFonts w:ascii="Times New Roman" w:hAnsi="Times New Roman" w:cs="Times New Roman"/>
          <w:bCs/>
          <w:sz w:val="24"/>
          <w:szCs w:val="24"/>
        </w:rPr>
        <w:t xml:space="preserve">lockchain traceability, Food Safety, </w:t>
      </w:r>
      <w:r>
        <w:rPr>
          <w:rFonts w:hint="eastAsia" w:ascii="Times New Roman" w:hAnsi="Times New Roman" w:cs="Times New Roman"/>
          <w:bCs/>
          <w:sz w:val="24"/>
          <w:szCs w:val="24"/>
          <w:lang w:val="en-US"/>
        </w:rPr>
        <w:t>i</w:t>
      </w:r>
      <w:r>
        <w:rPr>
          <w:rFonts w:ascii="Times New Roman" w:hAnsi="Times New Roman" w:cs="Times New Roman"/>
          <w:bCs/>
          <w:sz w:val="24"/>
          <w:szCs w:val="24"/>
        </w:rPr>
        <w:t xml:space="preserve">nformation preference, </w:t>
      </w:r>
      <w:r>
        <w:rPr>
          <w:rFonts w:hint="eastAsia" w:ascii="Times New Roman" w:hAnsi="Times New Roman" w:cs="Times New Roman"/>
          <w:bCs/>
          <w:sz w:val="24"/>
          <w:szCs w:val="24"/>
          <w:lang w:val="en-US"/>
        </w:rPr>
        <w:t>b</w:t>
      </w:r>
      <w:r>
        <w:rPr>
          <w:rFonts w:ascii="Times New Roman" w:hAnsi="Times New Roman" w:cs="Times New Roman"/>
          <w:bCs/>
          <w:sz w:val="24"/>
          <w:szCs w:val="24"/>
        </w:rPr>
        <w:t>est-worst scaling</w:t>
      </w:r>
      <w:commentRangeEnd w:id="3"/>
      <w:r>
        <w:commentReference w:id="3"/>
      </w:r>
    </w:p>
    <w:p>
      <w:pPr>
        <w:rPr>
          <w:rFonts w:ascii="Times New Roman" w:hAnsi="Times New Roman" w:cs="Times New Roman"/>
          <w:b/>
          <w:bCs/>
          <w:sz w:val="28"/>
          <w:szCs w:val="28"/>
        </w:rPr>
      </w:pPr>
    </w:p>
    <w:p>
      <w:pPr>
        <w:rPr>
          <w:rFonts w:ascii="Times New Roman" w:hAnsi="Times New Roman" w:cs="Times New Roman"/>
          <w:b/>
          <w:bCs/>
          <w:sz w:val="28"/>
          <w:szCs w:val="28"/>
        </w:rPr>
      </w:pPr>
      <w:commentRangeStart w:id="4"/>
      <w:r>
        <w:rPr>
          <w:rFonts w:ascii="Times New Roman" w:hAnsi="Times New Roman" w:cs="Times New Roman"/>
          <w:b/>
          <w:bCs/>
          <w:sz w:val="28"/>
          <w:szCs w:val="28"/>
        </w:rPr>
        <w:t>1. Introduction</w:t>
      </w:r>
      <w:commentRangeEnd w:id="4"/>
      <w:r>
        <w:commentReference w:id="4"/>
      </w:r>
    </w:p>
    <w:p>
      <w:pPr>
        <w:jc w:val="both"/>
        <w:rPr>
          <w:rFonts w:ascii="Times New Roman" w:hAnsi="Times New Roman" w:cs="Times New Roman"/>
          <w:b/>
          <w:bCs/>
          <w:i/>
          <w:iCs/>
          <w:sz w:val="24"/>
          <w:szCs w:val="24"/>
        </w:rPr>
      </w:pPr>
      <w:commentRangeStart w:id="5"/>
      <w:r>
        <w:rPr>
          <w:rFonts w:hint="eastAsia" w:ascii="Times New Roman" w:hAnsi="Times New Roman" w:cs="Times New Roman"/>
          <w:b/>
          <w:bCs/>
          <w:i/>
          <w:iCs/>
          <w:sz w:val="24"/>
          <w:szCs w:val="24"/>
          <w:lang w:val="en-US"/>
        </w:rPr>
        <w:t>1</w:t>
      </w:r>
      <w:r>
        <w:rPr>
          <w:rFonts w:ascii="Times New Roman" w:hAnsi="Times New Roman" w:cs="Times New Roman"/>
          <w:b/>
          <w:bCs/>
          <w:i/>
          <w:iCs/>
          <w:sz w:val="24"/>
          <w:szCs w:val="24"/>
        </w:rPr>
        <w:t>.1 Inter-generational regression and correlation coefficients</w:t>
      </w:r>
      <w:commentRangeEnd w:id="5"/>
      <w:r>
        <w:commentReference w:id="5"/>
      </w:r>
      <w:r>
        <w:rPr>
          <w:rFonts w:ascii="Times New Roman" w:hAnsi="Times New Roman" w:cs="Times New Roman"/>
          <w:b/>
          <w:bCs/>
          <w:i/>
          <w:iCs/>
          <w:sz w:val="24"/>
          <w:szCs w:val="24"/>
        </w:rPr>
        <w:t xml:space="preserve"> </w:t>
      </w:r>
    </w:p>
    <w:p>
      <w:pPr>
        <w:jc w:val="both"/>
        <w:rPr>
          <w:rFonts w:ascii="TimesNewRomanPSMT" w:hAnsi="TimesNewRomanPSMT" w:cs="TimesNewRomanPSMT"/>
          <w:sz w:val="24"/>
          <w:szCs w:val="24"/>
          <w:lang w:val="en-US"/>
        </w:rPr>
      </w:pPr>
      <w:r>
        <w:rPr>
          <w:rFonts w:hint="eastAsia" w:ascii="Times New Roman" w:hAnsi="Times New Roman" w:cs="Times New Roman"/>
          <w:sz w:val="24"/>
          <w:szCs w:val="24"/>
        </w:rPr>
        <w:t xml:space="preserve">China has achieved remarkable advances in </w:t>
      </w:r>
      <w:r>
        <w:rPr>
          <w:rFonts w:ascii="Times New Roman" w:hAnsi="Times New Roman" w:cs="Times New Roman"/>
          <w:sz w:val="24"/>
          <w:szCs w:val="24"/>
        </w:rPr>
        <w:t xml:space="preserve">its education </w:t>
      </w:r>
      <w:r>
        <w:rPr>
          <w:rFonts w:hint="eastAsia" w:ascii="Times New Roman" w:hAnsi="Times New Roman" w:cs="Times New Roman"/>
          <w:sz w:val="24"/>
          <w:szCs w:val="24"/>
        </w:rPr>
        <w:t>system</w:t>
      </w:r>
      <w:r>
        <w:rPr>
          <w:rFonts w:ascii="Times New Roman" w:hAnsi="Times New Roman" w:cs="Times New Roman"/>
          <w:sz w:val="24"/>
          <w:szCs w:val="24"/>
        </w:rPr>
        <w:t xml:space="preserve"> in recent decades, </w:t>
      </w:r>
      <w:r>
        <w:rPr>
          <w:rFonts w:hint="eastAsia" w:ascii="Times New Roman" w:hAnsi="Times New Roman" w:cs="Times New Roman"/>
          <w:sz w:val="24"/>
          <w:szCs w:val="24"/>
        </w:rPr>
        <w:t>average level</w:t>
      </w:r>
      <w:r>
        <w:rPr>
          <w:rFonts w:ascii="Times New Roman" w:hAnsi="Times New Roman" w:cs="Times New Roman"/>
          <w:sz w:val="24"/>
          <w:szCs w:val="24"/>
        </w:rPr>
        <w:t>s</w:t>
      </w:r>
      <w:r>
        <w:rPr>
          <w:rFonts w:hint="eastAsia" w:ascii="Times New Roman" w:hAnsi="Times New Roman" w:cs="Times New Roman"/>
          <w:sz w:val="24"/>
          <w:szCs w:val="24"/>
        </w:rPr>
        <w:t xml:space="preserve"> of </w:t>
      </w:r>
      <w:r>
        <w:rPr>
          <w:rFonts w:ascii="Times New Roman" w:hAnsi="Times New Roman" w:cs="Times New Roman"/>
          <w:sz w:val="24"/>
          <w:szCs w:val="24"/>
        </w:rPr>
        <w:t>educational</w:t>
      </w:r>
      <w:r>
        <w:rPr>
          <w:rFonts w:hint="eastAsia" w:ascii="Times New Roman" w:hAnsi="Times New Roman" w:cs="Times New Roman"/>
          <w:sz w:val="24"/>
          <w:szCs w:val="24"/>
        </w:rPr>
        <w:t xml:space="preserve"> quality and attainment</w:t>
      </w:r>
      <w:r>
        <w:rPr>
          <w:rFonts w:ascii="Times New Roman" w:hAnsi="Times New Roman" w:cs="Times New Roman"/>
          <w:sz w:val="24"/>
          <w:szCs w:val="24"/>
        </w:rPr>
        <w:t>s.</w:t>
      </w:r>
      <w:r>
        <w:t xml:space="preserve"> </w:t>
      </w:r>
      <w:r>
        <w:rPr>
          <w:rFonts w:ascii="Times New Roman" w:hAnsi="Times New Roman" w:cs="Times New Roman"/>
          <w:sz w:val="24"/>
          <w:szCs w:val="24"/>
        </w:rPr>
        <w:t>In urban China, while there has been a narrowing of the gender gap in educational attainment over time</w:t>
      </w:r>
      <w:commentRangeStart w:id="6"/>
      <w:r>
        <w:rPr>
          <w:rFonts w:ascii="Times New Roman" w:hAnsi="Times New Roman" w:cs="Times New Roman"/>
          <w:sz w:val="24"/>
          <w:szCs w:val="24"/>
        </w:rPr>
        <w:t xml:space="preserve"> (Golley and Kong, 2018; C. Li, 2010; Z. Zhang and Chen, 2014)</w:t>
      </w:r>
      <w:commentRangeEnd w:id="6"/>
      <w:r>
        <w:commentReference w:id="6"/>
      </w:r>
      <w:r>
        <w:rPr>
          <w:rFonts w:ascii="Times New Roman" w:hAnsi="Times New Roman" w:cs="Times New Roman"/>
          <w:sz w:val="24"/>
          <w:szCs w:val="24"/>
        </w:rPr>
        <w:t xml:space="preserve"> </w:t>
      </w:r>
      <w:r>
        <w:rPr>
          <w:rFonts w:hint="eastAsia" w:ascii="TimesNewRomanPSMT" w:hAnsi="TimesNewRomanPSMT" w:cs="TimesNewRomanPSMT"/>
          <w:sz w:val="24"/>
          <w:szCs w:val="24"/>
          <w:lang w:val="en-US"/>
        </w:rPr>
        <w:t>······</w:t>
      </w:r>
    </w:p>
    <w:p>
      <w:pPr>
        <w:jc w:val="both"/>
        <w:rPr>
          <w:rFonts w:ascii="TimesNewRomanPSMT" w:hAnsi="TimesNewRomanPSMT" w:cs="TimesNewRomanPSMT"/>
          <w:sz w:val="24"/>
          <w:szCs w:val="24"/>
          <w:lang w:val="en-US"/>
        </w:rPr>
      </w:pPr>
    </w:p>
    <w:tbl>
      <w:tblPr>
        <w:tblStyle w:val="11"/>
        <w:tblW w:w="5000" w:type="pct"/>
        <w:tblInd w:w="0" w:type="dxa"/>
        <w:tblLayout w:type="autofit"/>
        <w:tblCellMar>
          <w:top w:w="0" w:type="dxa"/>
          <w:left w:w="108" w:type="dxa"/>
          <w:bottom w:w="0" w:type="dxa"/>
          <w:right w:w="108" w:type="dxa"/>
        </w:tblCellMar>
      </w:tblPr>
      <w:tblGrid>
        <w:gridCol w:w="2212"/>
        <w:gridCol w:w="1758"/>
        <w:gridCol w:w="1758"/>
        <w:gridCol w:w="1758"/>
        <w:gridCol w:w="1756"/>
      </w:tblGrid>
      <w:tr>
        <w:tblPrEx>
          <w:tblCellMar>
            <w:top w:w="0" w:type="dxa"/>
            <w:left w:w="108" w:type="dxa"/>
            <w:bottom w:w="0" w:type="dxa"/>
            <w:right w:w="108" w:type="dxa"/>
          </w:tblCellMar>
        </w:tblPrEx>
        <w:trPr>
          <w:trHeight w:val="283" w:hRule="atLeast"/>
        </w:trPr>
        <w:tc>
          <w:tcPr>
            <w:tcW w:w="5000" w:type="pct"/>
            <w:gridSpan w:val="5"/>
            <w:tcBorders>
              <w:top w:val="nil"/>
              <w:left w:val="nil"/>
              <w:bottom w:val="single" w:color="auto" w:sz="4" w:space="0"/>
              <w:right w:val="nil"/>
            </w:tcBorders>
            <w:shd w:val="clear" w:color="auto" w:fill="auto"/>
            <w:vAlign w:val="center"/>
          </w:tcPr>
          <w:p>
            <w:pPr>
              <w:spacing w:after="0" w:line="240" w:lineRule="auto"/>
              <w:jc w:val="center"/>
              <w:rPr>
                <w:rFonts w:ascii="Times New Roman" w:hAnsi="Times New Roman" w:eastAsia="等线" w:cs="Times New Roman"/>
                <w:b/>
                <w:bCs/>
                <w:color w:val="000000"/>
                <w:lang w:val="en-US"/>
              </w:rPr>
            </w:pPr>
            <w:commentRangeStart w:id="7"/>
            <w:r>
              <w:rPr>
                <w:rFonts w:ascii="Times New Roman" w:hAnsi="Times New Roman" w:eastAsia="等线" w:cs="Times New Roman"/>
                <w:b/>
                <w:bCs/>
                <w:color w:val="000000"/>
                <w:sz w:val="24"/>
                <w:szCs w:val="24"/>
                <w:lang w:val="en-US"/>
              </w:rPr>
              <w:t xml:space="preserve">Table </w:t>
            </w:r>
            <w:r>
              <w:rPr>
                <w:rFonts w:hint="eastAsia" w:ascii="Times New Roman" w:hAnsi="Times New Roman" w:eastAsia="等线" w:cs="Times New Roman"/>
                <w:b/>
                <w:bCs/>
                <w:color w:val="000000"/>
                <w:sz w:val="24"/>
                <w:szCs w:val="24"/>
                <w:lang w:val="en-US"/>
              </w:rPr>
              <w:t>1</w:t>
            </w:r>
            <w:r>
              <w:rPr>
                <w:rFonts w:ascii="Times New Roman" w:hAnsi="Times New Roman" w:eastAsia="等线" w:cs="Times New Roman"/>
                <w:b/>
                <w:bCs/>
                <w:color w:val="000000"/>
                <w:sz w:val="24"/>
                <w:szCs w:val="24"/>
                <w:lang w:val="en-US"/>
              </w:rPr>
              <w:t>. Educational mobility based on the direction of change, by gender</w:t>
            </w:r>
            <w:commentRangeEnd w:id="7"/>
            <w:r>
              <w:commentReference w:id="7"/>
            </w:r>
          </w:p>
          <w:p>
            <w:pPr>
              <w:spacing w:after="0" w:line="240" w:lineRule="auto"/>
              <w:rPr>
                <w:rFonts w:hint="eastAsia" w:ascii="Times New Roman" w:hAnsi="Times New Roman" w:eastAsia="等线" w:cs="Times New Roman"/>
                <w:color w:val="000000"/>
                <w:lang w:val="en-US"/>
              </w:rPr>
            </w:pPr>
          </w:p>
        </w:tc>
      </w:tr>
      <w:tr>
        <w:tblPrEx>
          <w:tblCellMar>
            <w:top w:w="0" w:type="dxa"/>
            <w:left w:w="108" w:type="dxa"/>
            <w:bottom w:w="0" w:type="dxa"/>
            <w:right w:w="108" w:type="dxa"/>
          </w:tblCellMar>
        </w:tblPrEx>
        <w:trPr>
          <w:trHeight w:val="315" w:hRule="atLeast"/>
        </w:trPr>
        <w:tc>
          <w:tcPr>
            <w:tcW w:w="1197" w:type="pct"/>
            <w:tcBorders>
              <w:top w:val="nil"/>
              <w:left w:val="nil"/>
              <w:bottom w:val="single" w:color="auto" w:sz="4" w:space="0"/>
              <w:right w:val="nil"/>
            </w:tcBorders>
            <w:shd w:val="clear" w:color="auto" w:fill="auto"/>
            <w:vAlign w:val="center"/>
          </w:tcPr>
          <w:p>
            <w:pPr>
              <w:spacing w:after="0" w:line="240" w:lineRule="auto"/>
              <w:jc w:val="center"/>
              <w:rPr>
                <w:rFonts w:ascii="Times New Roman" w:hAnsi="Times New Roman" w:eastAsia="等线" w:cs="Times New Roman"/>
                <w:color w:val="000000"/>
                <w:sz w:val="24"/>
                <w:szCs w:val="24"/>
                <w:lang w:val="en-US"/>
              </w:rPr>
            </w:pPr>
          </w:p>
        </w:tc>
        <w:tc>
          <w:tcPr>
            <w:tcW w:w="951" w:type="pct"/>
            <w:tcBorders>
              <w:top w:val="nil"/>
              <w:left w:val="nil"/>
              <w:bottom w:val="single" w:color="auto" w:sz="4" w:space="0"/>
              <w:right w:val="nil"/>
            </w:tcBorders>
            <w:shd w:val="clear" w:color="auto" w:fill="auto"/>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Down</w:t>
            </w:r>
          </w:p>
        </w:tc>
        <w:tc>
          <w:tcPr>
            <w:tcW w:w="951" w:type="pct"/>
            <w:tcBorders>
              <w:top w:val="nil"/>
              <w:left w:val="nil"/>
              <w:bottom w:val="single" w:color="auto" w:sz="4" w:space="0"/>
              <w:right w:val="nil"/>
            </w:tcBorders>
            <w:shd w:val="clear" w:color="auto" w:fill="auto"/>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Same</w:t>
            </w:r>
          </w:p>
        </w:tc>
        <w:tc>
          <w:tcPr>
            <w:tcW w:w="951" w:type="pct"/>
            <w:tcBorders>
              <w:top w:val="nil"/>
              <w:left w:val="nil"/>
              <w:bottom w:val="single" w:color="auto" w:sz="4" w:space="0"/>
              <w:right w:val="nil"/>
            </w:tcBorders>
            <w:shd w:val="clear" w:color="auto" w:fill="auto"/>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Up</w:t>
            </w:r>
          </w:p>
        </w:tc>
        <w:tc>
          <w:tcPr>
            <w:tcW w:w="950" w:type="pct"/>
            <w:tcBorders>
              <w:top w:val="nil"/>
              <w:left w:val="nil"/>
              <w:bottom w:val="single" w:color="auto" w:sz="4" w:space="0"/>
              <w:right w:val="nil"/>
            </w:tcBorders>
            <w:shd w:val="clear" w:color="auto" w:fill="auto"/>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Total</w:t>
            </w:r>
          </w:p>
        </w:tc>
      </w:tr>
      <w:tr>
        <w:tblPrEx>
          <w:tblCellMar>
            <w:top w:w="0" w:type="dxa"/>
            <w:left w:w="108" w:type="dxa"/>
            <w:bottom w:w="0" w:type="dxa"/>
            <w:right w:w="108" w:type="dxa"/>
          </w:tblCellMar>
        </w:tblPrEx>
        <w:trPr>
          <w:trHeight w:val="300" w:hRule="atLeast"/>
        </w:trPr>
        <w:tc>
          <w:tcPr>
            <w:tcW w:w="1197" w:type="pct"/>
            <w:tcBorders>
              <w:top w:val="nil"/>
              <w:left w:val="nil"/>
              <w:bottom w:val="nil"/>
              <w:right w:val="nil"/>
            </w:tcBorders>
            <w:shd w:val="clear" w:color="auto" w:fill="auto"/>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Male</w:t>
            </w:r>
          </w:p>
        </w:tc>
        <w:tc>
          <w:tcPr>
            <w:tcW w:w="951"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13.1</w:t>
            </w:r>
          </w:p>
        </w:tc>
        <w:tc>
          <w:tcPr>
            <w:tcW w:w="951"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28.1</w:t>
            </w:r>
          </w:p>
        </w:tc>
        <w:tc>
          <w:tcPr>
            <w:tcW w:w="951"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58.8</w:t>
            </w:r>
          </w:p>
        </w:tc>
        <w:tc>
          <w:tcPr>
            <w:tcW w:w="950"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100.00</w:t>
            </w:r>
          </w:p>
        </w:tc>
      </w:tr>
      <w:tr>
        <w:tblPrEx>
          <w:tblCellMar>
            <w:top w:w="0" w:type="dxa"/>
            <w:left w:w="108" w:type="dxa"/>
            <w:bottom w:w="0" w:type="dxa"/>
            <w:right w:w="108" w:type="dxa"/>
          </w:tblCellMar>
        </w:tblPrEx>
        <w:trPr>
          <w:trHeight w:val="300" w:hRule="atLeast"/>
        </w:trPr>
        <w:tc>
          <w:tcPr>
            <w:tcW w:w="1197" w:type="pct"/>
            <w:tcBorders>
              <w:top w:val="nil"/>
              <w:left w:val="nil"/>
              <w:bottom w:val="nil"/>
              <w:right w:val="nil"/>
            </w:tcBorders>
            <w:shd w:val="clear" w:color="auto" w:fill="auto"/>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Female</w:t>
            </w:r>
          </w:p>
        </w:tc>
        <w:tc>
          <w:tcPr>
            <w:tcW w:w="951"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18.4</w:t>
            </w:r>
          </w:p>
        </w:tc>
        <w:tc>
          <w:tcPr>
            <w:tcW w:w="951"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36.2</w:t>
            </w:r>
          </w:p>
        </w:tc>
        <w:tc>
          <w:tcPr>
            <w:tcW w:w="951"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45.4</w:t>
            </w:r>
          </w:p>
        </w:tc>
        <w:tc>
          <w:tcPr>
            <w:tcW w:w="950"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100.00</w:t>
            </w:r>
          </w:p>
        </w:tc>
      </w:tr>
      <w:tr>
        <w:tblPrEx>
          <w:tblCellMar>
            <w:top w:w="0" w:type="dxa"/>
            <w:left w:w="108" w:type="dxa"/>
            <w:bottom w:w="0" w:type="dxa"/>
            <w:right w:w="108" w:type="dxa"/>
          </w:tblCellMar>
        </w:tblPrEx>
        <w:trPr>
          <w:trHeight w:val="300" w:hRule="atLeast"/>
        </w:trPr>
        <w:tc>
          <w:tcPr>
            <w:tcW w:w="1197" w:type="pct"/>
            <w:tcBorders>
              <w:top w:val="nil"/>
              <w:left w:val="nil"/>
              <w:bottom w:val="nil"/>
              <w:right w:val="nil"/>
            </w:tcBorders>
            <w:shd w:val="clear" w:color="auto" w:fill="auto"/>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All</w:t>
            </w:r>
          </w:p>
        </w:tc>
        <w:tc>
          <w:tcPr>
            <w:tcW w:w="951"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15.9</w:t>
            </w:r>
          </w:p>
        </w:tc>
        <w:tc>
          <w:tcPr>
            <w:tcW w:w="951"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32.3</w:t>
            </w:r>
          </w:p>
        </w:tc>
        <w:tc>
          <w:tcPr>
            <w:tcW w:w="951"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51.9</w:t>
            </w:r>
          </w:p>
        </w:tc>
        <w:tc>
          <w:tcPr>
            <w:tcW w:w="950"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100.00</w:t>
            </w:r>
          </w:p>
        </w:tc>
      </w:tr>
      <w:tr>
        <w:tblPrEx>
          <w:tblCellMar>
            <w:top w:w="0" w:type="dxa"/>
            <w:left w:w="108" w:type="dxa"/>
            <w:bottom w:w="0" w:type="dxa"/>
            <w:right w:w="108" w:type="dxa"/>
          </w:tblCellMar>
        </w:tblPrEx>
        <w:trPr>
          <w:trHeight w:val="300" w:hRule="atLeast"/>
        </w:trPr>
        <w:tc>
          <w:tcPr>
            <w:tcW w:w="5000" w:type="pct"/>
            <w:gridSpan w:val="5"/>
            <w:tcBorders>
              <w:top w:val="nil"/>
              <w:left w:val="nil"/>
              <w:bottom w:val="nil"/>
              <w:right w:val="nil"/>
            </w:tcBorders>
            <w:shd w:val="clear" w:color="auto" w:fill="auto"/>
            <w:vAlign w:val="center"/>
          </w:tcPr>
          <w:p>
            <w:pPr>
              <w:spacing w:after="0" w:line="240" w:lineRule="auto"/>
              <w:jc w:val="center"/>
              <w:rPr>
                <w:rFonts w:ascii="Times New Roman" w:hAnsi="Times New Roman" w:eastAsia="等线" w:cs="Times New Roman"/>
                <w:color w:val="000000"/>
                <w:sz w:val="24"/>
                <w:szCs w:val="24"/>
                <w:lang w:val="en-US"/>
              </w:rPr>
            </w:pPr>
          </w:p>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Chi2 contribution to gender difference</w:t>
            </w:r>
          </w:p>
          <w:p>
            <w:pPr>
              <w:spacing w:after="0" w:line="240" w:lineRule="auto"/>
              <w:jc w:val="center"/>
              <w:rPr>
                <w:rFonts w:ascii="Times New Roman" w:hAnsi="Times New Roman" w:eastAsia="等线" w:cs="Times New Roman"/>
                <w:color w:val="000000"/>
                <w:sz w:val="24"/>
                <w:szCs w:val="24"/>
                <w:lang w:val="en-US"/>
              </w:rPr>
            </w:pPr>
          </w:p>
        </w:tc>
      </w:tr>
      <w:tr>
        <w:tblPrEx>
          <w:tblCellMar>
            <w:top w:w="0" w:type="dxa"/>
            <w:left w:w="108" w:type="dxa"/>
            <w:bottom w:w="0" w:type="dxa"/>
            <w:right w:w="108" w:type="dxa"/>
          </w:tblCellMar>
        </w:tblPrEx>
        <w:trPr>
          <w:trHeight w:val="300" w:hRule="atLeast"/>
        </w:trPr>
        <w:tc>
          <w:tcPr>
            <w:tcW w:w="1197" w:type="pct"/>
            <w:tcBorders>
              <w:top w:val="nil"/>
              <w:left w:val="nil"/>
              <w:bottom w:val="nil"/>
              <w:right w:val="nil"/>
            </w:tcBorders>
            <w:shd w:val="clear" w:color="auto" w:fill="auto"/>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Male</w:t>
            </w:r>
          </w:p>
        </w:tc>
        <w:tc>
          <w:tcPr>
            <w:tcW w:w="951"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12.7%</w:t>
            </w:r>
          </w:p>
        </w:tc>
        <w:tc>
          <w:tcPr>
            <w:tcW w:w="951"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14.5%</w:t>
            </w:r>
          </w:p>
        </w:tc>
        <w:tc>
          <w:tcPr>
            <w:tcW w:w="951"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24.8%</w:t>
            </w:r>
          </w:p>
        </w:tc>
        <w:tc>
          <w:tcPr>
            <w:tcW w:w="950"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52.0%</w:t>
            </w:r>
          </w:p>
        </w:tc>
      </w:tr>
      <w:tr>
        <w:tblPrEx>
          <w:tblCellMar>
            <w:top w:w="0" w:type="dxa"/>
            <w:left w:w="108" w:type="dxa"/>
            <w:bottom w:w="0" w:type="dxa"/>
            <w:right w:w="108" w:type="dxa"/>
          </w:tblCellMar>
        </w:tblPrEx>
        <w:trPr>
          <w:trHeight w:val="300" w:hRule="atLeast"/>
        </w:trPr>
        <w:tc>
          <w:tcPr>
            <w:tcW w:w="1197" w:type="pct"/>
            <w:tcBorders>
              <w:top w:val="nil"/>
              <w:left w:val="nil"/>
              <w:bottom w:val="nil"/>
              <w:right w:val="nil"/>
            </w:tcBorders>
            <w:shd w:val="clear" w:color="auto" w:fill="auto"/>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Female</w:t>
            </w:r>
          </w:p>
        </w:tc>
        <w:tc>
          <w:tcPr>
            <w:tcW w:w="951"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11.7%</w:t>
            </w:r>
          </w:p>
        </w:tc>
        <w:tc>
          <w:tcPr>
            <w:tcW w:w="951"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13.4%</w:t>
            </w:r>
          </w:p>
        </w:tc>
        <w:tc>
          <w:tcPr>
            <w:tcW w:w="951"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22.8%</w:t>
            </w:r>
          </w:p>
        </w:tc>
        <w:tc>
          <w:tcPr>
            <w:tcW w:w="950"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48.0%</w:t>
            </w:r>
          </w:p>
        </w:tc>
      </w:tr>
      <w:tr>
        <w:tblPrEx>
          <w:tblCellMar>
            <w:top w:w="0" w:type="dxa"/>
            <w:left w:w="108" w:type="dxa"/>
            <w:bottom w:w="0" w:type="dxa"/>
            <w:right w:w="108" w:type="dxa"/>
          </w:tblCellMar>
        </w:tblPrEx>
        <w:trPr>
          <w:trHeight w:val="300" w:hRule="atLeast"/>
        </w:trPr>
        <w:tc>
          <w:tcPr>
            <w:tcW w:w="1197" w:type="pct"/>
            <w:tcBorders>
              <w:top w:val="nil"/>
              <w:left w:val="nil"/>
              <w:bottom w:val="nil"/>
              <w:right w:val="nil"/>
            </w:tcBorders>
            <w:shd w:val="clear" w:color="auto" w:fill="auto"/>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All</w:t>
            </w:r>
          </w:p>
        </w:tc>
        <w:tc>
          <w:tcPr>
            <w:tcW w:w="951"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24.4%</w:t>
            </w:r>
          </w:p>
        </w:tc>
        <w:tc>
          <w:tcPr>
            <w:tcW w:w="951"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28.0%</w:t>
            </w:r>
          </w:p>
        </w:tc>
        <w:tc>
          <w:tcPr>
            <w:tcW w:w="951"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47.6%</w:t>
            </w:r>
          </w:p>
        </w:tc>
        <w:tc>
          <w:tcPr>
            <w:tcW w:w="950" w:type="pct"/>
            <w:tcBorders>
              <w:top w:val="nil"/>
              <w:left w:val="nil"/>
              <w:bottom w:val="nil"/>
              <w:right w:val="nil"/>
            </w:tcBorders>
            <w:shd w:val="clear" w:color="auto" w:fill="auto"/>
            <w:noWrap/>
            <w:vAlign w:val="center"/>
          </w:tcPr>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100%</w:t>
            </w:r>
          </w:p>
        </w:tc>
      </w:tr>
      <w:tr>
        <w:tblPrEx>
          <w:tblCellMar>
            <w:top w:w="0" w:type="dxa"/>
            <w:left w:w="108" w:type="dxa"/>
            <w:bottom w:w="0" w:type="dxa"/>
            <w:right w:w="108" w:type="dxa"/>
          </w:tblCellMar>
        </w:tblPrEx>
        <w:trPr>
          <w:trHeight w:val="300" w:hRule="atLeast"/>
        </w:trPr>
        <w:tc>
          <w:tcPr>
            <w:tcW w:w="5000" w:type="pct"/>
            <w:gridSpan w:val="5"/>
            <w:tcBorders>
              <w:top w:val="nil"/>
              <w:left w:val="nil"/>
              <w:bottom w:val="single" w:color="auto" w:sz="4" w:space="0"/>
              <w:right w:val="nil"/>
            </w:tcBorders>
            <w:shd w:val="clear" w:color="auto" w:fill="auto"/>
            <w:vAlign w:val="center"/>
          </w:tcPr>
          <w:p>
            <w:pPr>
              <w:spacing w:after="0" w:line="240" w:lineRule="auto"/>
              <w:jc w:val="center"/>
              <w:rPr>
                <w:rFonts w:ascii="Times New Roman" w:hAnsi="Times New Roman" w:eastAsia="等线" w:cs="Times New Roman"/>
                <w:color w:val="000000"/>
                <w:sz w:val="24"/>
                <w:szCs w:val="24"/>
                <w:lang w:val="en-US"/>
              </w:rPr>
            </w:pPr>
          </w:p>
          <w:p>
            <w:pPr>
              <w:spacing w:after="0" w:line="240" w:lineRule="auto"/>
              <w:jc w:val="center"/>
              <w:rPr>
                <w:rFonts w:ascii="Times New Roman" w:hAnsi="Times New Roman" w:eastAsia="等线" w:cs="Times New Roman"/>
                <w:color w:val="000000"/>
                <w:sz w:val="24"/>
                <w:szCs w:val="24"/>
                <w:lang w:val="en-US"/>
              </w:rPr>
            </w:pPr>
            <w:r>
              <w:rPr>
                <w:rFonts w:ascii="Times New Roman" w:hAnsi="Times New Roman" w:eastAsia="等线" w:cs="Times New Roman"/>
                <w:color w:val="000000"/>
                <w:sz w:val="24"/>
                <w:szCs w:val="24"/>
                <w:lang w:val="en-US"/>
              </w:rPr>
              <w:t>Pearson Chi2(2) = 316.5***</w:t>
            </w:r>
          </w:p>
        </w:tc>
      </w:tr>
    </w:tbl>
    <w:p>
      <w:pPr>
        <w:spacing w:after="0"/>
        <w:jc w:val="both"/>
        <w:rPr>
          <w:rFonts w:ascii="Times New Roman" w:hAnsi="Times New Roman" w:cs="Times New Roman"/>
          <w:i/>
          <w:iCs/>
          <w:sz w:val="21"/>
          <w:szCs w:val="21"/>
        </w:rPr>
      </w:pPr>
      <w:r>
        <w:rPr>
          <w:rFonts w:ascii="Times New Roman" w:hAnsi="Times New Roman" w:cs="Times New Roman"/>
          <w:i/>
          <w:iCs/>
          <w:sz w:val="21"/>
          <w:szCs w:val="21"/>
        </w:rPr>
        <w:t>Source: CFPS Survey and authors’ calculations.</w:t>
      </w:r>
    </w:p>
    <w:p>
      <w:pPr>
        <w:jc w:val="both"/>
        <w:rPr>
          <w:rFonts w:ascii="TimesNewRomanPSMT" w:hAnsi="TimesNewRomanPSMT" w:cs="TimesNewRomanPSMT"/>
          <w:sz w:val="21"/>
          <w:szCs w:val="21"/>
          <w:lang w:val="en-US"/>
        </w:rPr>
      </w:pPr>
      <w:r>
        <w:rPr>
          <w:rFonts w:ascii="Times New Roman" w:hAnsi="Times New Roman" w:cs="Times New Roman"/>
          <w:i/>
          <w:iCs/>
          <w:sz w:val="21"/>
          <w:szCs w:val="21"/>
        </w:rPr>
        <w:t xml:space="preserve">Note: </w:t>
      </w:r>
      <w:r>
        <w:rPr>
          <w:rFonts w:ascii="Times New Roman" w:hAnsi="Times New Roman" w:cs="Times New Roman"/>
          <w:sz w:val="21"/>
          <w:szCs w:val="21"/>
          <w:lang w:val="en-US"/>
        </w:rPr>
        <w:t xml:space="preserve">Standard errors in parentheses, </w:t>
      </w:r>
      <w:r>
        <w:rPr>
          <w:rFonts w:ascii="Times New Roman" w:hAnsi="Times New Roman" w:cs="Times New Roman"/>
          <w:sz w:val="21"/>
          <w:szCs w:val="21"/>
          <w:vertAlign w:val="superscript"/>
          <w:lang w:val="en-US"/>
        </w:rPr>
        <w:t>*</w:t>
      </w:r>
      <w:r>
        <w:rPr>
          <w:rFonts w:ascii="Times New Roman" w:hAnsi="Times New Roman" w:cs="Times New Roman"/>
          <w:sz w:val="21"/>
          <w:szCs w:val="21"/>
          <w:lang w:val="en-US"/>
        </w:rPr>
        <w:t xml:space="preserve"> </w:t>
      </w:r>
      <w:r>
        <w:rPr>
          <w:rFonts w:ascii="Times New Roman" w:hAnsi="Times New Roman" w:cs="Times New Roman"/>
          <w:i/>
          <w:iCs/>
          <w:sz w:val="21"/>
          <w:szCs w:val="21"/>
          <w:lang w:val="en-US"/>
        </w:rPr>
        <w:t>p</w:t>
      </w:r>
      <w:r>
        <w:rPr>
          <w:rFonts w:ascii="Times New Roman" w:hAnsi="Times New Roman" w:cs="Times New Roman"/>
          <w:sz w:val="21"/>
          <w:szCs w:val="21"/>
          <w:lang w:val="en-US"/>
        </w:rPr>
        <w:t xml:space="preserve"> &lt; 0.10, </w:t>
      </w:r>
      <w:r>
        <w:rPr>
          <w:rFonts w:ascii="Times New Roman" w:hAnsi="Times New Roman" w:cs="Times New Roman"/>
          <w:sz w:val="21"/>
          <w:szCs w:val="21"/>
          <w:vertAlign w:val="superscript"/>
          <w:lang w:val="en-US"/>
        </w:rPr>
        <w:t>**</w:t>
      </w:r>
      <w:r>
        <w:rPr>
          <w:rFonts w:ascii="Times New Roman" w:hAnsi="Times New Roman" w:cs="Times New Roman"/>
          <w:sz w:val="21"/>
          <w:szCs w:val="21"/>
          <w:lang w:val="en-US"/>
        </w:rPr>
        <w:t xml:space="preserve"> </w:t>
      </w:r>
      <w:r>
        <w:rPr>
          <w:rFonts w:ascii="Times New Roman" w:hAnsi="Times New Roman" w:cs="Times New Roman"/>
          <w:i/>
          <w:iCs/>
          <w:sz w:val="21"/>
          <w:szCs w:val="21"/>
          <w:lang w:val="en-US"/>
        </w:rPr>
        <w:t>p</w:t>
      </w:r>
      <w:r>
        <w:rPr>
          <w:rFonts w:ascii="Times New Roman" w:hAnsi="Times New Roman" w:cs="Times New Roman"/>
          <w:sz w:val="21"/>
          <w:szCs w:val="21"/>
          <w:lang w:val="en-US"/>
        </w:rPr>
        <w:t xml:space="preserve"> &lt; 0.05, </w:t>
      </w:r>
      <w:r>
        <w:rPr>
          <w:rFonts w:ascii="Times New Roman" w:hAnsi="Times New Roman" w:cs="Times New Roman"/>
          <w:sz w:val="21"/>
          <w:szCs w:val="21"/>
          <w:vertAlign w:val="superscript"/>
          <w:lang w:val="en-US"/>
        </w:rPr>
        <w:t>***</w:t>
      </w:r>
      <w:r>
        <w:rPr>
          <w:rFonts w:ascii="Times New Roman" w:hAnsi="Times New Roman" w:cs="Times New Roman"/>
          <w:sz w:val="21"/>
          <w:szCs w:val="21"/>
          <w:lang w:val="en-US"/>
        </w:rPr>
        <w:t xml:space="preserve"> </w:t>
      </w:r>
      <w:r>
        <w:rPr>
          <w:rFonts w:ascii="Times New Roman" w:hAnsi="Times New Roman" w:cs="Times New Roman"/>
          <w:i/>
          <w:iCs/>
          <w:sz w:val="21"/>
          <w:szCs w:val="21"/>
          <w:lang w:val="en-US"/>
        </w:rPr>
        <w:t>p</w:t>
      </w:r>
      <w:r>
        <w:rPr>
          <w:rFonts w:ascii="Times New Roman" w:hAnsi="Times New Roman" w:cs="Times New Roman"/>
          <w:sz w:val="21"/>
          <w:szCs w:val="21"/>
          <w:lang w:val="en-US"/>
        </w:rPr>
        <w:t xml:space="preserve"> &lt; 0.01</w:t>
      </w:r>
    </w:p>
    <w:p>
      <w:pPr>
        <w:jc w:val="both"/>
        <w:rPr>
          <w:rFonts w:ascii="Times New Roman" w:hAnsi="Times New Roman" w:cs="Times New Roman"/>
          <w:b/>
          <w:bCs/>
          <w:sz w:val="28"/>
          <w:szCs w:val="28"/>
        </w:rPr>
      </w:pPr>
      <w:r>
        <w:rPr>
          <w:rFonts w:ascii="Times New Roman" w:hAnsi="Times New Roman" w:cs="Times New Roman"/>
          <w:b/>
          <w:bCs/>
          <w:sz w:val="28"/>
          <w:szCs w:val="28"/>
        </w:rPr>
        <w:t>2. Data and Descriptive Statistics</w:t>
      </w:r>
    </w:p>
    <w:p>
      <w:pPr>
        <w:jc w:val="both"/>
        <w:rPr>
          <w:rFonts w:ascii="Times New Roman" w:hAnsi="Times New Roman" w:cs="Times New Roman"/>
          <w:b/>
          <w:bCs/>
          <w:sz w:val="28"/>
          <w:szCs w:val="28"/>
        </w:rPr>
      </w:pPr>
      <w:r>
        <w:rPr>
          <w:rFonts w:hint="eastAsia" w:ascii="Times New Roman" w:hAnsi="Times New Roman" w:cs="Times New Roman"/>
          <w:b/>
          <w:bCs/>
          <w:sz w:val="28"/>
          <w:szCs w:val="28"/>
          <w:lang w:val="en-US"/>
        </w:rPr>
        <w:t>3</w:t>
      </w:r>
      <w:r>
        <w:rPr>
          <w:rFonts w:ascii="Times New Roman" w:hAnsi="Times New Roman" w:cs="Times New Roman"/>
          <w:b/>
          <w:bCs/>
          <w:sz w:val="28"/>
          <w:szCs w:val="28"/>
        </w:rPr>
        <w:t xml:space="preserve">. Methodology and Results </w:t>
      </w:r>
    </w:p>
    <w:p>
      <w:pPr>
        <w:jc w:val="both"/>
        <w:rPr>
          <w:rFonts w:ascii="Times New Roman" w:hAnsi="Times New Roman" w:cs="Times New Roman"/>
          <w:b/>
          <w:bCs/>
          <w:i/>
          <w:iCs/>
          <w:sz w:val="24"/>
          <w:szCs w:val="24"/>
        </w:rPr>
      </w:pPr>
      <w:r>
        <w:rPr>
          <w:rFonts w:hint="eastAsia" w:ascii="Times New Roman" w:hAnsi="Times New Roman" w:cs="Times New Roman"/>
          <w:b/>
          <w:bCs/>
          <w:i/>
          <w:iCs/>
          <w:sz w:val="24"/>
          <w:szCs w:val="24"/>
          <w:lang w:val="en-US"/>
        </w:rPr>
        <w:t>3</w:t>
      </w:r>
      <w:r>
        <w:rPr>
          <w:rFonts w:ascii="Times New Roman" w:hAnsi="Times New Roman" w:cs="Times New Roman"/>
          <w:b/>
          <w:bCs/>
          <w:i/>
          <w:iCs/>
          <w:sz w:val="24"/>
          <w:szCs w:val="24"/>
        </w:rPr>
        <w:t xml:space="preserve">.1 Inter-generational regression and correlation coefficients </w:t>
      </w:r>
    </w:p>
    <w:p>
      <w:pPr>
        <w:jc w:val="both"/>
        <w:rPr>
          <w:rFonts w:ascii="Times New Roman" w:hAnsi="Times New Roman" w:cs="Times New Roman"/>
          <w:sz w:val="24"/>
          <w:szCs w:val="24"/>
        </w:rPr>
      </w:pPr>
      <w:r>
        <w:rPr>
          <w:rFonts w:ascii="Times New Roman" w:hAnsi="Times New Roman" w:cs="Times New Roman"/>
          <w:sz w:val="24"/>
          <w:szCs w:val="24"/>
        </w:rPr>
        <w:t xml:space="preserve">Following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AuthorYear="1"&gt;&lt;Author&gt;Hertz&lt;/Author&gt;&lt;Year&gt;2007&lt;/Year&gt;&lt;RecNum&gt;2412&lt;/RecNum&gt;&lt;DisplayText&gt;Hertz, et al. (2007)&lt;/DisplayText&gt;&lt;record&gt;&lt;rec-number&gt;2412&lt;/rec-number&gt;&lt;foreign-keys&gt;&lt;key app="EN" db-id="50wxdpzd9vd5r7e9t5b595djrfpttrxw9avp" timestamp="1551229697"&gt;2412&lt;/key&gt;&lt;/foreign-keys&gt;&lt;ref-type name="Journal Article"&gt;17&lt;/ref-type&gt;&lt;contributors&gt;&lt;authors&gt;&lt;author&gt;Hertz, Tom&lt;/author&gt;&lt;author&gt;Jayasundera, Tamara&lt;/author&gt;&lt;author&gt;Piraino, Patrizio&lt;/author&gt;&lt;author&gt;Selcuk, Sibel&lt;/author&gt;&lt;author&gt;Smith, Nicole&lt;/author&gt;&lt;author&gt;Verashchagina, Alina&lt;/author&gt;&lt;/authors&gt;&lt;/contributors&gt;&lt;titles&gt;&lt;title&gt;The inheritance of educational inequality: International comparisons and fifty-year trends&lt;/title&gt;&lt;secondary-title&gt;The BE Journal of Economic Analysis &amp;amp; Policy&lt;/secondary-title&gt;&lt;/titles&gt;&lt;periodical&gt;&lt;full-title&gt;The BE Journal of Economic Analysis &amp;amp; Policy&lt;/full-title&gt;&lt;/periodical&gt;&lt;volume&gt;7&lt;/volume&gt;&lt;number&gt;2&lt;/number&gt;&lt;dates&gt;&lt;year&gt;2007&lt;/year&gt;&lt;/dates&gt;&lt;isbn&gt;1935-1682&lt;/isbn&gt;&lt;urls&gt;&lt;/urls&gt;&lt;/record&gt;&lt;/Cite&gt;&lt;/EndNote&gt;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sz w:val="24"/>
          <w:szCs w:val="24"/>
        </w:rPr>
        <w:t>Hertz, et al. (2007)</w:t>
      </w:r>
      <w:r>
        <w:rPr>
          <w:rFonts w:ascii="Times New Roman" w:hAnsi="Times New Roman" w:cs="Times New Roman"/>
          <w:sz w:val="24"/>
          <w:szCs w:val="24"/>
        </w:rPr>
        <w:fldChar w:fldCharType="end"/>
      </w:r>
      <w:r>
        <w:rPr>
          <w:rFonts w:ascii="Times New Roman" w:hAnsi="Times New Roman" w:cs="Times New Roman"/>
          <w:sz w:val="24"/>
          <w:szCs w:val="24"/>
        </w:rPr>
        <w:t xml:space="preserve">, we thus begin with the bivariate regression: </w:t>
      </w:r>
    </w:p>
    <w:p>
      <w:pPr>
        <w:jc w:val="center"/>
        <w:rPr>
          <w:rFonts w:ascii="Times New Roman" w:hAnsi="Times New Roman" w:cs="Times New Roman"/>
          <w:sz w:val="24"/>
          <w:szCs w:val="24"/>
        </w:rPr>
      </w:pP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m:oMath>
        <m:sSubSup>
          <m:sSubSupPr>
            <m:ctrlPr>
              <w:rPr>
                <w:rFonts w:ascii="Cambria Math" w:hAnsi="Cambria Math"/>
                <w:i/>
                <w:sz w:val="24"/>
                <w:szCs w:val="24"/>
              </w:rPr>
            </m:ctrlPr>
          </m:sSubSupPr>
          <m:e>
            <m:r>
              <m:rPr/>
              <w:rPr>
                <w:rFonts w:ascii="Cambria Math" w:hAnsi="Cambria Math"/>
                <w:sz w:val="24"/>
                <w:szCs w:val="24"/>
              </w:rPr>
              <m:t>Y</m:t>
            </m:r>
            <m:ctrlPr>
              <w:rPr>
                <w:rFonts w:ascii="Cambria Math" w:hAnsi="Cambria Math"/>
                <w:i/>
                <w:sz w:val="24"/>
                <w:szCs w:val="24"/>
              </w:rPr>
            </m:ctrlPr>
          </m:e>
          <m:sub>
            <m:r>
              <m:rPr/>
              <w:rPr>
                <w:rFonts w:ascii="Cambria Math" w:hAnsi="Cambria Math"/>
                <w:sz w:val="24"/>
                <w:szCs w:val="24"/>
              </w:rPr>
              <m:t>i</m:t>
            </m:r>
            <m:ctrlPr>
              <w:rPr>
                <w:rFonts w:ascii="Cambria Math" w:hAnsi="Cambria Math"/>
                <w:i/>
                <w:sz w:val="24"/>
                <w:szCs w:val="24"/>
              </w:rPr>
            </m:ctrlPr>
          </m:sub>
          <m:sup>
            <m:r>
              <m:rPr/>
              <w:rPr>
                <w:rFonts w:ascii="Cambria Math" w:hAnsi="Cambria Math"/>
                <w:sz w:val="24"/>
                <w:szCs w:val="24"/>
              </w:rPr>
              <m:t>c</m:t>
            </m:r>
            <m:ctrlPr>
              <w:rPr>
                <w:rFonts w:ascii="Cambria Math" w:hAnsi="Cambria Math"/>
                <w:i/>
                <w:sz w:val="24"/>
                <w:szCs w:val="24"/>
              </w:rPr>
            </m:ctrlPr>
          </m:sup>
        </m:sSubSup>
        <m:r>
          <m:rPr/>
          <w:rPr>
            <w:rFonts w:ascii="Cambria Math" w:hAnsi="Cambria Math" w:cs="TimesNewRomanPSMT"/>
            <w:sz w:val="24"/>
            <w:szCs w:val="24"/>
          </w:rPr>
          <m:t>=</m:t>
        </m:r>
        <m:r>
          <m:rPr/>
          <w:rPr>
            <w:rFonts w:ascii="Cambria Math" w:hAnsi="Cambria Math"/>
            <w:sz w:val="24"/>
            <w:szCs w:val="24"/>
          </w:rPr>
          <m:t>α</m:t>
        </m:r>
        <m:r>
          <m:rPr/>
          <w:rPr>
            <w:rFonts w:ascii="Cambria Math" w:hAnsi="Cambria Math" w:cs="TimesNewRomanPSMT"/>
            <w:sz w:val="24"/>
            <w:szCs w:val="24"/>
          </w:rPr>
          <m:t>+</m:t>
        </m:r>
        <m:r>
          <m:rPr/>
          <w:rPr>
            <w:rFonts w:ascii="Cambria Math" w:hAnsi="Cambria Math"/>
            <w:sz w:val="24"/>
            <w:szCs w:val="24"/>
          </w:rPr>
          <m:t>β</m:t>
        </m:r>
        <m:sSubSup>
          <m:sSubSupPr>
            <m:ctrlPr>
              <w:rPr>
                <w:rFonts w:ascii="Cambria Math" w:hAnsi="Cambria Math"/>
                <w:i/>
                <w:sz w:val="24"/>
                <w:szCs w:val="24"/>
              </w:rPr>
            </m:ctrlPr>
          </m:sSubSupPr>
          <m:e>
            <m:r>
              <m:rPr/>
              <w:rPr>
                <w:rFonts w:ascii="Cambria Math" w:hAnsi="Cambria Math"/>
                <w:sz w:val="24"/>
                <w:szCs w:val="24"/>
              </w:rPr>
              <m:t>Y</m:t>
            </m:r>
            <m:ctrlPr>
              <w:rPr>
                <w:rFonts w:ascii="Cambria Math" w:hAnsi="Cambria Math"/>
                <w:i/>
                <w:sz w:val="24"/>
                <w:szCs w:val="24"/>
              </w:rPr>
            </m:ctrlPr>
          </m:e>
          <m:sub>
            <m:r>
              <m:rPr/>
              <w:rPr>
                <w:rFonts w:ascii="Cambria Math" w:hAnsi="Cambria Math"/>
                <w:sz w:val="24"/>
                <w:szCs w:val="24"/>
              </w:rPr>
              <m:t>i</m:t>
            </m:r>
            <m:ctrlPr>
              <w:rPr>
                <w:rFonts w:ascii="Cambria Math" w:hAnsi="Cambria Math"/>
                <w:i/>
                <w:sz w:val="24"/>
                <w:szCs w:val="24"/>
              </w:rPr>
            </m:ctrlPr>
          </m:sub>
          <m:sup>
            <m:r>
              <m:rPr/>
              <w:rPr>
                <w:rFonts w:ascii="Cambria Math" w:hAnsi="Cambria Math"/>
                <w:sz w:val="24"/>
                <w:szCs w:val="24"/>
              </w:rPr>
              <m:t>p</m:t>
            </m:r>
            <m:ctrlPr>
              <w:rPr>
                <w:rFonts w:ascii="Cambria Math" w:hAnsi="Cambria Math"/>
                <w:i/>
                <w:sz w:val="24"/>
                <w:szCs w:val="24"/>
              </w:rPr>
            </m:ctrlPr>
          </m:sup>
        </m:sSubSup>
        <m:r>
          <m:rPr/>
          <w:rPr>
            <w:rFonts w:hint="eastAsia"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μ</m:t>
            </m:r>
            <m:ctrlPr>
              <w:rPr>
                <w:rFonts w:ascii="Cambria Math" w:hAnsi="Cambria Math"/>
                <w:i/>
                <w:sz w:val="24"/>
                <w:szCs w:val="24"/>
              </w:rPr>
            </m:ctrlPr>
          </m:e>
          <m:sub>
            <m:r>
              <m:rPr/>
              <w:rPr>
                <w:rFonts w:ascii="Cambria Math" w:hAnsi="Cambria Math"/>
                <w:sz w:val="24"/>
                <w:szCs w:val="24"/>
              </w:rPr>
              <m:t>i</m:t>
            </m:r>
            <m:ctrlPr>
              <w:rPr>
                <w:rFonts w:ascii="Cambria Math" w:hAnsi="Cambria Math"/>
                <w:i/>
                <w:sz w:val="24"/>
                <w:szCs w:val="24"/>
              </w:rPr>
            </m:ctrlPr>
          </m:sub>
        </m:sSub>
      </m:oMath>
      <w:r>
        <w:rPr>
          <w:rFonts w:hint="eastAsia" w:ascii="Times New Roman" w:hAnsi="Times New Roman" w:cs="Times New Roman"/>
          <w:sz w:val="24"/>
          <w:szCs w:val="24"/>
        </w:rPr>
        <w:t xml:space="preserve">                                                          (1)</w:t>
      </w:r>
    </w:p>
    <w:p>
      <w:pPr>
        <w:jc w:val="both"/>
        <w:rPr>
          <w:rFonts w:ascii="Times New Roman" w:hAnsi="Times New Roman" w:cs="Times New Roman"/>
          <w:sz w:val="24"/>
          <w:szCs w:val="24"/>
        </w:rPr>
      </w:pPr>
      <w:r>
        <w:rPr>
          <w:rFonts w:ascii="Times New Roman" w:hAnsi="Times New Roman" w:cs="Times New Roman"/>
          <w:sz w:val="24"/>
          <w:szCs w:val="24"/>
        </w:rPr>
        <w:t xml:space="preserve">where Y is the number of years of schooling, superscripts </w:t>
      </w:r>
      <w:r>
        <w:rPr>
          <w:rFonts w:hint="eastAsia" w:ascii="Times New Roman" w:hAnsi="Times New Roman" w:cs="Times New Roman"/>
          <w:i/>
          <w:iCs/>
          <w:sz w:val="24"/>
          <w:szCs w:val="24"/>
        </w:rPr>
        <w:t>c</w:t>
      </w:r>
      <w:r>
        <w:rPr>
          <w:rFonts w:hint="eastAsia" w:ascii="Times New Roman" w:hAnsi="Times New Roman" w:cs="Times New Roman"/>
          <w:sz w:val="24"/>
          <w:szCs w:val="24"/>
        </w:rPr>
        <w:t xml:space="preserve"> and </w:t>
      </w:r>
      <w:r>
        <w:rPr>
          <w:rFonts w:hint="eastAsia" w:ascii="Times New Roman" w:hAnsi="Times New Roman" w:cs="Times New Roman"/>
          <w:i/>
          <w:iCs/>
          <w:sz w:val="24"/>
          <w:szCs w:val="24"/>
        </w:rPr>
        <w:t>p</w:t>
      </w:r>
      <w:r>
        <w:rPr>
          <w:rFonts w:ascii="Times New Roman" w:hAnsi="Times New Roman" w:cs="Times New Roman"/>
          <w:sz w:val="24"/>
          <w:szCs w:val="24"/>
        </w:rPr>
        <w:t xml:space="preserve"> refer to the “</w:t>
      </w:r>
      <w:r>
        <w:rPr>
          <w:rFonts w:hint="eastAsia" w:ascii="Times New Roman" w:hAnsi="Times New Roman" w:cs="Times New Roman"/>
          <w:sz w:val="24"/>
          <w:szCs w:val="24"/>
        </w:rPr>
        <w:t>child</w:t>
      </w:r>
      <w:r>
        <w:rPr>
          <w:rFonts w:ascii="Times New Roman" w:hAnsi="Times New Roman" w:cs="Times New Roman"/>
          <w:sz w:val="24"/>
          <w:szCs w:val="24"/>
        </w:rPr>
        <w:t>”</w:t>
      </w:r>
      <w:r>
        <w:rPr>
          <w:rFonts w:hint="eastAsia" w:ascii="Times New Roman" w:hAnsi="Times New Roman" w:cs="Times New Roman"/>
          <w:sz w:val="24"/>
          <w:szCs w:val="24"/>
        </w:rPr>
        <w:t xml:space="preserve"> and </w:t>
      </w:r>
      <w:r>
        <w:rPr>
          <w:rFonts w:ascii="Times New Roman" w:hAnsi="Times New Roman" w:cs="Times New Roman"/>
          <w:sz w:val="24"/>
          <w:szCs w:val="24"/>
        </w:rPr>
        <w:t xml:space="preserve">the </w:t>
      </w:r>
      <w:r>
        <w:rPr>
          <w:rFonts w:hint="eastAsia" w:ascii="Times New Roman" w:hAnsi="Times New Roman" w:cs="Times New Roman"/>
          <w:sz w:val="24"/>
          <w:szCs w:val="24"/>
        </w:rPr>
        <w:t>parents</w:t>
      </w:r>
      <w:r>
        <w:rPr>
          <w:rFonts w:ascii="Times New Roman" w:hAnsi="Times New Roman" w:cs="Times New Roman"/>
          <w:sz w:val="24"/>
          <w:szCs w:val="24"/>
        </w:rPr>
        <w:t xml:space="preserve"> (noting that all “children” are above age 24 in the sample)</w:t>
      </w:r>
      <w:r>
        <w:rPr>
          <w:rFonts w:hint="eastAsia" w:ascii="Times New Roman" w:hAnsi="Times New Roman" w:cs="Times New Roman"/>
          <w:sz w:val="24"/>
          <w:szCs w:val="24"/>
        </w:rPr>
        <w:t>, respectively</w:t>
      </w:r>
      <w:r>
        <w:rPr>
          <w:rFonts w:ascii="Times New Roman" w:hAnsi="Times New Roman" w:cs="Times New Roman"/>
          <w:sz w:val="24"/>
          <w:szCs w:val="24"/>
        </w:rPr>
        <w:t xml:space="preserve">, and subscript </w:t>
      </w:r>
      <w:r>
        <w:rPr>
          <w:rFonts w:ascii="Times New Roman" w:hAnsi="Times New Roman" w:cs="Times New Roman"/>
          <w:i/>
          <w:sz w:val="24"/>
          <w:szCs w:val="24"/>
        </w:rPr>
        <w:t>i</w:t>
      </w:r>
      <w:r>
        <w:rPr>
          <w:rFonts w:ascii="Times New Roman" w:hAnsi="Times New Roman" w:cs="Times New Roman"/>
          <w:sz w:val="24"/>
          <w:szCs w:val="24"/>
        </w:rPr>
        <w:t xml:space="preserve"> refers to the age cohort of the individual. Estimates of the coefficient</w:t>
      </w:r>
      <w:r>
        <w:rPr>
          <w:rFonts w:hint="eastAsia" w:ascii="Times New Roman" w:hAnsi="Times New Roman" w:cs="Times New Roman"/>
          <w:sz w:val="24"/>
          <w:szCs w:val="24"/>
        </w:rPr>
        <w:t xml:space="preserve"> </w:t>
      </w:r>
      <w:r>
        <w:rPr>
          <w:rFonts w:ascii="Times New Roman" w:hAnsi="Times New Roman" w:cs="Times New Roman"/>
          <w:sz w:val="24"/>
          <w:szCs w:val="24"/>
        </w:rPr>
        <w:t>β provide our first measure of inter-generational persistence, with higher values indicating greater persistence; by sub-dividing the sample into females and males we also examine differences between the two genders.</w:t>
      </w:r>
    </w:p>
    <w:p>
      <w:pPr>
        <w:jc w:val="both"/>
        <w:rPr>
          <w:rFonts w:ascii="Times New Roman" w:hAnsi="Times New Roman" w:cs="Times New Roman"/>
          <w:sz w:val="24"/>
          <w:szCs w:val="24"/>
        </w:rPr>
      </w:pPr>
    </w:p>
    <w:p>
      <w:pPr>
        <w:jc w:val="center"/>
      </w:pPr>
      <w:r>
        <w:rPr>
          <w:lang w:val="en-US"/>
        </w:rPr>
        <w:drawing>
          <wp:inline distT="0" distB="0" distL="0" distR="0">
            <wp:extent cx="4276725" cy="2032000"/>
            <wp:effectExtent l="0" t="0" r="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jc w:val="center"/>
        <w:rPr>
          <w:rFonts w:ascii="Times New Roman" w:hAnsi="Times New Roman" w:cs="Times New Roman"/>
        </w:rPr>
      </w:pPr>
      <w:commentRangeStart w:id="8"/>
      <w:r>
        <w:rPr>
          <w:rFonts w:ascii="Times New Roman" w:hAnsi="Times New Roman" w:cs="Times New Roman"/>
          <w:b/>
          <w:bCs/>
          <w:sz w:val="24"/>
          <w:szCs w:val="24"/>
        </w:rPr>
        <w:t>Figure 1. Regression coefficients across age cohorts</w:t>
      </w:r>
      <w:commentRangeEnd w:id="8"/>
      <w:r>
        <w:rPr>
          <w:rFonts w:ascii="Times New Roman" w:hAnsi="Times New Roman" w:cs="Times New Roman"/>
        </w:rPr>
        <w:commentReference w:id="8"/>
      </w:r>
    </w:p>
    <w:p>
      <w:pPr>
        <w:jc w:val="both"/>
        <w:rPr>
          <w:rFonts w:ascii="Times New Roman" w:hAnsi="Times New Roman" w:cs="Times New Roman"/>
          <w:b/>
          <w:bCs/>
          <w:i/>
          <w:iCs/>
          <w:sz w:val="24"/>
          <w:szCs w:val="24"/>
        </w:rPr>
      </w:pPr>
    </w:p>
    <w:p>
      <w:pPr>
        <w:jc w:val="both"/>
        <w:rPr>
          <w:rFonts w:ascii="Times New Roman" w:hAnsi="Times New Roman" w:cs="Times New Roman"/>
          <w:b/>
          <w:bCs/>
          <w:sz w:val="28"/>
          <w:szCs w:val="28"/>
        </w:rPr>
      </w:pPr>
      <w:r>
        <w:rPr>
          <w:rFonts w:ascii="Times New Roman" w:hAnsi="Times New Roman" w:cs="Times New Roman"/>
          <w:b/>
          <w:bCs/>
          <w:sz w:val="28"/>
          <w:szCs w:val="28"/>
        </w:rPr>
        <w:t>4. Conclusions</w:t>
      </w:r>
    </w:p>
    <w:p>
      <w:pPr>
        <w:jc w:val="both"/>
        <w:rPr>
          <w:rFonts w:ascii="Times New Roman" w:hAnsi="Times New Roman" w:cs="Times New Roman"/>
          <w:bCs/>
          <w:sz w:val="24"/>
          <w:szCs w:val="24"/>
          <w:lang w:val="en-US"/>
        </w:rPr>
      </w:pPr>
      <w:r>
        <w:rPr>
          <w:rFonts w:ascii="Times New Roman" w:hAnsi="Times New Roman" w:eastAsia="宋体" w:cs="Times New Roman"/>
          <w:kern w:val="2"/>
          <w:sz w:val="24"/>
          <w:szCs w:val="24"/>
          <w:lang w:val="en-US"/>
        </w:rPr>
        <w:t xml:space="preserve">This paper </w:t>
      </w:r>
      <w:r>
        <w:rPr>
          <w:rFonts w:ascii="Times New Roman" w:hAnsi="Times New Roman" w:cs="Times New Roman"/>
          <w:bCs/>
          <w:sz w:val="24"/>
          <w:szCs w:val="24"/>
        </w:rPr>
        <w:t xml:space="preserve">first confirmed that </w:t>
      </w:r>
      <w:r>
        <w:rPr>
          <w:rFonts w:hint="eastAsia" w:ascii="Times New Roman" w:hAnsi="Times New Roman" w:cs="Times New Roman"/>
          <w:bCs/>
          <w:sz w:val="24"/>
          <w:szCs w:val="24"/>
          <w:lang w:val="en-US"/>
        </w:rPr>
        <w:t>······</w:t>
      </w:r>
    </w:p>
    <w:p>
      <w:pPr>
        <w:jc w:val="both"/>
        <w:rPr>
          <w:rFonts w:ascii="Times New Roman" w:hAnsi="Times New Roman" w:cs="Times New Roman"/>
          <w:bCs/>
          <w:sz w:val="24"/>
          <w:szCs w:val="24"/>
          <w:lang w:val="en-US"/>
        </w:rPr>
      </w:pPr>
    </w:p>
    <w:p>
      <w:pPr>
        <w:pStyle w:val="23"/>
        <w:jc w:val="both"/>
        <w:rPr>
          <w:rFonts w:ascii="Times New Roman" w:hAnsi="Times New Roman" w:cs="Times New Roman"/>
          <w:b/>
          <w:bCs/>
          <w:sz w:val="28"/>
          <w:szCs w:val="28"/>
        </w:rPr>
      </w:pPr>
      <w:commentRangeStart w:id="9"/>
      <w:r>
        <w:fldChar w:fldCharType="begin"/>
      </w:r>
      <w:r>
        <w:instrText xml:space="preserve"> ADDIN EN.REFLIST </w:instrText>
      </w:r>
      <w:r>
        <w:fldChar w:fldCharType="separate"/>
      </w:r>
      <w:r>
        <w:rPr>
          <w:rFonts w:ascii="Times New Roman" w:hAnsi="Times New Roman" w:cs="Times New Roman"/>
          <w:b/>
          <w:bCs/>
          <w:sz w:val="28"/>
          <w:szCs w:val="28"/>
        </w:rPr>
        <w:t>Reference</w:t>
      </w:r>
    </w:p>
    <w:p>
      <w:pPr>
        <w:pStyle w:val="23"/>
        <w:rPr>
          <w:rFonts w:ascii="Arial" w:hAnsi="Arial" w:cs="Arial"/>
        </w:rPr>
      </w:pPr>
    </w:p>
    <w:p>
      <w:pPr>
        <w:rPr>
          <w:rFonts w:ascii="Times New Roman" w:hAnsi="Times New Roman" w:eastAsia="Verdana Italic" w:cs="Times New Roman"/>
          <w:i/>
          <w:iCs/>
          <w:color w:val="000000"/>
          <w:sz w:val="24"/>
          <w:szCs w:val="24"/>
          <w:lang w:val="en-US" w:bidi="ar"/>
        </w:rPr>
      </w:pPr>
      <w:r>
        <w:rPr>
          <w:rFonts w:ascii="Times New Roman" w:hAnsi="Times New Roman" w:eastAsia="Verdana Italic" w:cs="Times New Roman"/>
          <w:i/>
          <w:iCs/>
          <w:color w:val="000000"/>
          <w:sz w:val="24"/>
          <w:szCs w:val="24"/>
          <w:lang w:val="en-US" w:bidi="ar"/>
        </w:rPr>
        <w:t xml:space="preserve">Examples: </w:t>
      </w:r>
    </w:p>
    <w:p>
      <w:pPr>
        <w:rPr>
          <w:rFonts w:ascii="Times New Roman" w:hAnsi="Times New Roman" w:cs="Times New Roman"/>
          <w:sz w:val="24"/>
          <w:szCs w:val="24"/>
        </w:rPr>
      </w:pPr>
      <w:r>
        <w:rPr>
          <w:rFonts w:ascii="Times New Roman" w:hAnsi="Times New Roman" w:eastAsia="Verdana Italic" w:cs="Times New Roman"/>
          <w:i/>
          <w:iCs/>
          <w:color w:val="000000"/>
          <w:sz w:val="24"/>
          <w:szCs w:val="24"/>
          <w:lang w:val="en-US" w:bidi="ar"/>
        </w:rPr>
        <w:t>Reference to a journal publication:</w:t>
      </w:r>
      <w:r>
        <w:rPr>
          <w:rFonts w:ascii="Times New Roman" w:hAnsi="Times New Roman" w:eastAsia="宋体" w:cs="Times New Roman"/>
          <w:color w:val="000000"/>
          <w:sz w:val="24"/>
          <w:szCs w:val="24"/>
          <w:lang w:val="en-US" w:bidi="ar"/>
        </w:rPr>
        <w:t xml:space="preserve"> </w:t>
      </w:r>
    </w:p>
    <w:p>
      <w:pPr>
        <w:rPr>
          <w:rFonts w:ascii="Times New Roman" w:hAnsi="Times New Roman" w:cs="Times New Roman"/>
          <w:sz w:val="24"/>
          <w:szCs w:val="24"/>
        </w:rPr>
      </w:pPr>
      <w:r>
        <w:rPr>
          <w:rFonts w:ascii="Times New Roman" w:hAnsi="Times New Roman" w:eastAsia="宋体" w:cs="Times New Roman"/>
          <w:color w:val="000000"/>
          <w:sz w:val="24"/>
          <w:szCs w:val="24"/>
          <w:lang w:val="en-US" w:bidi="ar"/>
        </w:rPr>
        <w:t xml:space="preserve">[1] J. van der Geer, J.A.J. Hanraads, R.A. Lupton, The art of writing a scientific article, J. Sci. Commun. 163 (2010) 51–59. </w:t>
      </w:r>
    </w:p>
    <w:p>
      <w:pPr>
        <w:rPr>
          <w:rFonts w:ascii="Times New Roman" w:hAnsi="Times New Roman" w:eastAsia="宋体" w:cs="Times New Roman"/>
          <w:color w:val="000000"/>
          <w:sz w:val="24"/>
          <w:szCs w:val="24"/>
          <w:lang w:val="en-US" w:bidi="ar"/>
        </w:rPr>
      </w:pPr>
    </w:p>
    <w:p>
      <w:pPr>
        <w:rPr>
          <w:rFonts w:ascii="Times New Roman" w:hAnsi="Times New Roman" w:eastAsia="Verdana Italic" w:cs="Times New Roman"/>
          <w:i/>
          <w:iCs/>
          <w:color w:val="000000"/>
          <w:sz w:val="24"/>
          <w:szCs w:val="24"/>
          <w:lang w:val="en-US" w:bidi="ar"/>
        </w:rPr>
      </w:pPr>
      <w:r>
        <w:rPr>
          <w:rFonts w:ascii="Times New Roman" w:hAnsi="Times New Roman" w:eastAsia="Verdana Italic" w:cs="Times New Roman"/>
          <w:i/>
          <w:iCs/>
          <w:color w:val="000000"/>
          <w:sz w:val="24"/>
          <w:szCs w:val="24"/>
          <w:lang w:val="en-US" w:bidi="ar"/>
        </w:rPr>
        <w:t xml:space="preserve">Reference to a journal publication with an article number: </w:t>
      </w:r>
    </w:p>
    <w:p>
      <w:pPr>
        <w:rPr>
          <w:rFonts w:ascii="Times New Roman" w:hAnsi="Times New Roman" w:cs="Times New Roman"/>
          <w:sz w:val="24"/>
          <w:szCs w:val="24"/>
        </w:rPr>
      </w:pPr>
      <w:r>
        <w:rPr>
          <w:rFonts w:ascii="Times New Roman" w:hAnsi="Times New Roman" w:eastAsia="宋体" w:cs="Times New Roman"/>
          <w:color w:val="000000"/>
          <w:sz w:val="24"/>
          <w:szCs w:val="24"/>
          <w:lang w:val="en-US" w:bidi="ar"/>
        </w:rPr>
        <w:t>[2] J. van der Geer, J.A.J. Hanraads, R.A. Lupton, 2018. The art of writing a scientific article. Heliyon. 19, e00205.</w:t>
      </w:r>
      <w:r>
        <w:rPr>
          <w:rFonts w:ascii="Times New Roman" w:hAnsi="Times New Roman" w:eastAsia="宋体" w:cs="Times New Roman"/>
          <w:color w:val="000000"/>
          <w:sz w:val="24"/>
          <w:szCs w:val="24"/>
          <w:lang w:bidi="ar"/>
        </w:rPr>
        <w:t xml:space="preserve"> </w:t>
      </w:r>
    </w:p>
    <w:p>
      <w:pPr>
        <w:rPr>
          <w:rFonts w:ascii="Times New Roman" w:hAnsi="Times New Roman" w:eastAsia="宋体" w:cs="Times New Roman"/>
          <w:color w:val="000000"/>
          <w:sz w:val="24"/>
          <w:szCs w:val="24"/>
          <w:lang w:val="en-US" w:bidi="ar"/>
        </w:rPr>
      </w:pPr>
      <w:bookmarkStart w:id="1" w:name="_GoBack"/>
      <w:bookmarkEnd w:id="1"/>
    </w:p>
    <w:p>
      <w:pPr>
        <w:rPr>
          <w:rFonts w:ascii="Times New Roman" w:hAnsi="Times New Roman" w:eastAsia="Verdana Italic" w:cs="Times New Roman"/>
          <w:i/>
          <w:iCs/>
          <w:color w:val="000000"/>
          <w:sz w:val="24"/>
          <w:szCs w:val="24"/>
          <w:lang w:val="en-US" w:bidi="ar"/>
        </w:rPr>
      </w:pPr>
      <w:r>
        <w:rPr>
          <w:rFonts w:ascii="Times New Roman" w:hAnsi="Times New Roman" w:eastAsia="Verdana Italic" w:cs="Times New Roman"/>
          <w:i/>
          <w:iCs/>
          <w:color w:val="000000"/>
          <w:sz w:val="24"/>
          <w:szCs w:val="24"/>
          <w:lang w:val="en-US" w:bidi="ar"/>
        </w:rPr>
        <w:t xml:space="preserve">Reference to a book: </w:t>
      </w:r>
    </w:p>
    <w:p>
      <w:pPr>
        <w:rPr>
          <w:rFonts w:ascii="Times New Roman" w:hAnsi="Times New Roman" w:cs="Times New Roman"/>
          <w:sz w:val="24"/>
          <w:szCs w:val="24"/>
        </w:rPr>
      </w:pPr>
      <w:r>
        <w:rPr>
          <w:rFonts w:ascii="Times New Roman" w:hAnsi="Times New Roman" w:eastAsia="宋体" w:cs="Times New Roman"/>
          <w:color w:val="000000"/>
          <w:sz w:val="24"/>
          <w:szCs w:val="24"/>
          <w:lang w:val="en-US" w:bidi="ar"/>
        </w:rPr>
        <w:t xml:space="preserve">[3] W. Strunk Jr., E.B. White, The Elements of Style, fourth ed., Longman, New York, 2000. </w:t>
      </w:r>
    </w:p>
    <w:p>
      <w:pPr>
        <w:rPr>
          <w:rFonts w:ascii="Times New Roman" w:hAnsi="Times New Roman" w:eastAsia="宋体" w:cs="Times New Roman"/>
          <w:color w:val="000000"/>
          <w:sz w:val="24"/>
          <w:szCs w:val="24"/>
          <w:lang w:val="en-US" w:bidi="ar"/>
        </w:rPr>
      </w:pPr>
    </w:p>
    <w:p>
      <w:pPr>
        <w:rPr>
          <w:rFonts w:ascii="Times New Roman" w:hAnsi="Times New Roman" w:eastAsia="Verdana Italic" w:cs="Times New Roman"/>
          <w:i/>
          <w:iCs/>
          <w:color w:val="000000"/>
          <w:sz w:val="24"/>
          <w:szCs w:val="24"/>
          <w:lang w:val="en-US" w:bidi="ar"/>
        </w:rPr>
      </w:pPr>
      <w:r>
        <w:rPr>
          <w:rFonts w:ascii="Times New Roman" w:hAnsi="Times New Roman" w:eastAsia="Verdana Italic" w:cs="Times New Roman"/>
          <w:i/>
          <w:iCs/>
          <w:color w:val="000000"/>
          <w:sz w:val="24"/>
          <w:szCs w:val="24"/>
          <w:lang w:val="en-US" w:bidi="ar"/>
        </w:rPr>
        <w:t xml:space="preserve">Reference to a chapter in an edited book: </w:t>
      </w:r>
    </w:p>
    <w:p>
      <w:pPr>
        <w:rPr>
          <w:rFonts w:ascii="Times New Roman" w:hAnsi="Times New Roman" w:cs="Times New Roman"/>
          <w:sz w:val="24"/>
          <w:szCs w:val="24"/>
        </w:rPr>
      </w:pPr>
      <w:r>
        <w:rPr>
          <w:rFonts w:ascii="Times New Roman" w:hAnsi="Times New Roman" w:eastAsia="宋体" w:cs="Times New Roman"/>
          <w:color w:val="000000"/>
          <w:sz w:val="24"/>
          <w:szCs w:val="24"/>
          <w:lang w:val="en-US" w:bidi="ar"/>
        </w:rPr>
        <w:t xml:space="preserve">[4] G.R. Mettam, L.B. Adams, How to prepare an electronic version of your article, in: B.S. Jones, R.Z. Smith (Eds.), Introduction to the Electronic Age, E-Publishing Inc., New York, 2009, pp. 281–304. </w:t>
      </w:r>
    </w:p>
    <w:p>
      <w:pPr>
        <w:rPr>
          <w:rFonts w:ascii="Times New Roman" w:hAnsi="Times New Roman" w:eastAsia="宋体" w:cs="Times New Roman"/>
          <w:color w:val="000000"/>
          <w:sz w:val="24"/>
          <w:szCs w:val="24"/>
          <w:lang w:val="en-US" w:bidi="ar"/>
        </w:rPr>
      </w:pPr>
    </w:p>
    <w:p>
      <w:pPr>
        <w:rPr>
          <w:rFonts w:ascii="Times New Roman" w:hAnsi="Times New Roman" w:eastAsia="Verdana Italic" w:cs="Times New Roman"/>
          <w:i/>
          <w:iCs/>
          <w:color w:val="000000"/>
          <w:sz w:val="24"/>
          <w:szCs w:val="24"/>
          <w:lang w:val="en-US" w:bidi="ar"/>
        </w:rPr>
      </w:pPr>
      <w:r>
        <w:rPr>
          <w:rFonts w:ascii="Times New Roman" w:hAnsi="Times New Roman" w:eastAsia="Verdana Italic" w:cs="Times New Roman"/>
          <w:i/>
          <w:iCs/>
          <w:color w:val="000000"/>
          <w:sz w:val="24"/>
          <w:szCs w:val="24"/>
          <w:lang w:val="en-US" w:bidi="ar"/>
        </w:rPr>
        <w:t xml:space="preserve">Reference to a website: </w:t>
      </w:r>
    </w:p>
    <w:p>
      <w:pPr>
        <w:rPr>
          <w:rFonts w:ascii="Times New Roman" w:hAnsi="Times New Roman" w:cs="Times New Roman"/>
          <w:sz w:val="21"/>
          <w:szCs w:val="21"/>
        </w:rPr>
      </w:pPr>
      <w:r>
        <w:rPr>
          <w:rFonts w:ascii="Times New Roman" w:hAnsi="Times New Roman" w:eastAsia="宋体" w:cs="Times New Roman"/>
          <w:color w:val="000000"/>
          <w:sz w:val="24"/>
          <w:szCs w:val="24"/>
          <w:lang w:val="en-US" w:bidi="ar"/>
        </w:rPr>
        <w:t>[5] Cancer Research UK, Cancer statistics reports for the UK.</w:t>
      </w:r>
      <w:r>
        <w:rPr>
          <w:rFonts w:ascii="Times New Roman" w:hAnsi="Times New Roman" w:eastAsia="宋体" w:cs="Times New Roman"/>
          <w:color w:val="000000"/>
          <w:sz w:val="24"/>
          <w:szCs w:val="24"/>
          <w:lang w:bidi="ar"/>
        </w:rPr>
        <w:t xml:space="preserve"> </w:t>
      </w:r>
      <w:r>
        <w:rPr>
          <w:rFonts w:ascii="Times New Roman" w:hAnsi="Times New Roman" w:eastAsia="宋体" w:cs="Times New Roman"/>
          <w:color w:val="000000"/>
          <w:sz w:val="24"/>
          <w:szCs w:val="24"/>
          <w:lang w:val="en-US" w:bidi="ar"/>
        </w:rPr>
        <w:t>http://www.cancerresearchuk.org/ aboutcancer/statistics/cancerstatsreport/, 2003.</w:t>
      </w:r>
    </w:p>
    <w:p>
      <w:pPr>
        <w:rPr>
          <w:rFonts w:ascii="Times New Roman" w:hAnsi="Times New Roman" w:cs="Times New Roman"/>
          <w:sz w:val="24"/>
          <w:szCs w:val="24"/>
        </w:rPr>
      </w:pPr>
      <w:r>
        <w:rPr>
          <w:rFonts w:ascii="Times New Roman" w:hAnsi="Times New Roman" w:cs="Times New Roman"/>
          <w:sz w:val="24"/>
          <w:szCs w:val="24"/>
        </w:rPr>
        <w:fldChar w:fldCharType="end"/>
      </w:r>
      <w:commentRangeEnd w:id="9"/>
      <w:r>
        <w:commentReference w:id="9"/>
      </w:r>
    </w:p>
    <w:p>
      <w:pPr>
        <w:rPr>
          <w:rFonts w:ascii="Times New Roman" w:hAnsi="Times New Roman" w:cs="Times New Roman"/>
          <w:sz w:val="24"/>
          <w:szCs w:val="24"/>
        </w:rPr>
      </w:pPr>
      <w:r>
        <w:rPr>
          <w:rFonts w:ascii="Times New Roman" w:hAnsi="Times New Roman" w:cs="Times New Roman"/>
          <w:sz w:val="24"/>
          <w:szCs w:val="24"/>
        </w:rPr>
        <w:br w:type="page"/>
      </w:r>
    </w:p>
    <w:p>
      <w:pPr>
        <w:rPr>
          <w:rFonts w:ascii="Times New Roman" w:hAnsi="Times New Roman" w:cs="Times New Roman"/>
          <w:sz w:val="24"/>
          <w:szCs w:val="24"/>
        </w:rPr>
      </w:pPr>
    </w:p>
    <w:p>
      <w:pPr>
        <w:pStyle w:val="3"/>
        <w:jc w:val="center"/>
      </w:pPr>
      <w:commentRangeStart w:id="10"/>
      <w:bookmarkStart w:id="0" w:name="_Toc421022028"/>
      <w:r>
        <w:rPr>
          <w:rFonts w:hint="eastAsia"/>
        </w:rPr>
        <w:t>甘肃青海教育资源整合现状调研报告</w:t>
      </w:r>
      <w:commentRangeEnd w:id="10"/>
      <w:r>
        <w:rPr>
          <w:rStyle w:val="14"/>
          <w:rFonts w:ascii="Times New Roman" w:hAnsi="Times New Roman"/>
          <w:b w:val="0"/>
          <w:bCs w:val="0"/>
        </w:rPr>
        <w:commentReference w:id="10"/>
      </w:r>
      <w:r>
        <w:rPr>
          <w:rStyle w:val="15"/>
        </w:rPr>
        <w:footnoteReference w:id="1" w:customMarkFollows="1"/>
        <w:sym w:font="Symbol" w:char="F02A"/>
      </w:r>
      <w:bookmarkEnd w:id="0"/>
    </w:p>
    <w:p>
      <w:pPr>
        <w:pStyle w:val="34"/>
        <w:rPr>
          <w:b/>
        </w:rPr>
      </w:pPr>
    </w:p>
    <w:p>
      <w:pPr>
        <w:pStyle w:val="34"/>
      </w:pPr>
      <w:r>
        <w:rPr>
          <w:b/>
        </w:rPr>
        <w:t>内容摘要：</w:t>
      </w:r>
      <w:commentRangeStart w:id="11"/>
      <w:r>
        <w:t>甘肃青海两省地处我国西部，教育发展相对落后，而农村地区的教育资源相比之下更为短缺。随着城镇化加速和计划生育的影响，农村学校生源锐减，农村地区的学校布局存在的问题日益暴露。为实现教育公平，优化教育资源布局，从2001年起</w:t>
      </w:r>
      <w:r>
        <w:rPr>
          <w:rFonts w:hint="eastAsia"/>
        </w:rPr>
        <w:t>······</w:t>
      </w:r>
      <w:commentRangeEnd w:id="11"/>
      <w:r>
        <w:rPr>
          <w:rStyle w:val="14"/>
        </w:rPr>
        <w:commentReference w:id="11"/>
      </w:r>
    </w:p>
    <w:p>
      <w:pPr>
        <w:pStyle w:val="34"/>
      </w:pPr>
      <w:r>
        <w:rPr>
          <w:b/>
        </w:rPr>
        <w:t>关键词：</w:t>
      </w:r>
      <w:commentRangeStart w:id="12"/>
      <w:r>
        <w:t>教育资源整合</w:t>
      </w:r>
      <w:r>
        <w:rPr>
          <w:rFonts w:hint="eastAsia"/>
        </w:rPr>
        <w:t xml:space="preserve">  </w:t>
      </w:r>
      <w:r>
        <w:t>撤点并校</w:t>
      </w:r>
      <w:r>
        <w:rPr>
          <w:rFonts w:hint="eastAsia"/>
        </w:rPr>
        <w:t xml:space="preserve">  </w:t>
      </w:r>
      <w:r>
        <w:t>布局调整</w:t>
      </w:r>
      <w:commentRangeEnd w:id="12"/>
      <w:r>
        <w:rPr>
          <w:rStyle w:val="14"/>
        </w:rPr>
        <w:commentReference w:id="12"/>
      </w:r>
    </w:p>
    <w:p>
      <w:pPr>
        <w:spacing w:after="0"/>
        <w:rPr>
          <w:rFonts w:ascii="Times New Roman" w:hAnsi="Times New Roman" w:cs="Times New Roman"/>
          <w:sz w:val="24"/>
          <w:szCs w:val="24"/>
          <w:lang w:val="en-US"/>
        </w:rPr>
      </w:pPr>
    </w:p>
    <w:sectPr>
      <w:footerReference r:id="rId7" w:type="default"/>
      <w:pgSz w:w="11906" w:h="16838"/>
      <w:pgMar w:top="1440" w:right="1440" w:bottom="1440" w:left="1440" w:header="708" w:footer="708" w:gutter="0"/>
      <w:cols w:space="708" w:num="1"/>
      <w:docGrid w:linePitch="360"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dministrator [2]" w:date="2023-04-13T16:29:00Z" w:initials="">
    <w:p w14:paraId="408013E9">
      <w:pPr>
        <w:pStyle w:val="4"/>
      </w:pPr>
      <w:r>
        <w:rPr>
          <w:rFonts w:hint="eastAsia"/>
          <w:lang w:val="en-US"/>
        </w:rPr>
        <w:t>标题居中，</w:t>
      </w:r>
      <w:r>
        <w:rPr>
          <w:rFonts w:ascii="Times New Roman" w:hAnsi="Times New Roman" w:cs="Times New Roman"/>
        </w:rPr>
        <w:t>Times New Roman</w:t>
      </w:r>
      <w:r>
        <w:rPr>
          <w:rFonts w:hint="eastAsia"/>
          <w:lang w:val="en-US"/>
        </w:rPr>
        <w:t>小二</w:t>
      </w:r>
    </w:p>
    <w:p w14:paraId="33EA5DB2">
      <w:pPr>
        <w:pStyle w:val="4"/>
      </w:pPr>
      <w:r>
        <w:rPr>
          <w:rFonts w:hint="eastAsia"/>
        </w:rPr>
        <w:t>1，脚注自定义标记号为*</w:t>
      </w:r>
    </w:p>
    <w:p w14:paraId="48CC23C9">
      <w:pPr>
        <w:pStyle w:val="4"/>
      </w:pPr>
      <w:r>
        <w:rPr>
          <w:rFonts w:hint="eastAsia"/>
        </w:rPr>
        <w:t>操作方法：选择标题文字</w:t>
      </w:r>
      <w:r>
        <w:rPr>
          <w:rFonts w:ascii="Times New Roman" w:hAnsi="Times New Roman" w:cs="Times New Roman"/>
        </w:rPr>
        <w:t>-word</w:t>
      </w:r>
      <w:r>
        <w:rPr>
          <w:rFonts w:hint="eastAsia"/>
        </w:rPr>
        <w:t>菜单“引用”中“插入脚注”-选择自定义标记号“*”-应用更改选择“所选文字”-插入脚注</w:t>
      </w:r>
    </w:p>
    <w:p w14:paraId="60BF5753">
      <w:pPr>
        <w:pStyle w:val="4"/>
      </w:pPr>
      <w:r>
        <w:rPr>
          <w:rFonts w:hint="eastAsia"/>
        </w:rPr>
        <w:t>2，</w:t>
      </w:r>
      <w:r>
        <w:rPr>
          <w:rFonts w:hint="eastAsia"/>
          <w:lang w:val="en-US"/>
        </w:rPr>
        <w:t>脚注</w:t>
      </w:r>
      <w:r>
        <w:rPr>
          <w:rFonts w:hint="eastAsia"/>
        </w:rPr>
        <w:t>文字格式为</w:t>
      </w:r>
      <w:r>
        <w:rPr>
          <w:rFonts w:ascii="Times New Roman" w:hAnsi="Times New Roman" w:cs="Times New Roman"/>
        </w:rPr>
        <w:t>Times New Roman</w:t>
      </w:r>
      <w:r>
        <w:rPr>
          <w:rFonts w:hint="eastAsia"/>
          <w:lang w:val="en-US"/>
        </w:rPr>
        <w:t>五</w:t>
      </w:r>
      <w:r>
        <w:rPr>
          <w:rFonts w:hint="eastAsia"/>
        </w:rPr>
        <w:t>号。“本文作者：作者姓名，学校</w:t>
      </w:r>
      <w:r>
        <w:t>-</w:t>
      </w:r>
      <w:r>
        <w:rPr>
          <w:rFonts w:hint="eastAsia"/>
        </w:rPr>
        <w:t>院系</w:t>
      </w:r>
      <w:r>
        <w:t>-</w:t>
      </w:r>
      <w:r>
        <w:rPr>
          <w:rFonts w:hint="eastAsia"/>
        </w:rPr>
        <w:t>年级</w:t>
      </w:r>
      <w:r>
        <w:t>-</w:t>
      </w:r>
      <w:r>
        <w:rPr>
          <w:rFonts w:hint="eastAsia"/>
        </w:rPr>
        <w:t>层次，如有两名作者中间用；隔开”</w:t>
      </w:r>
    </w:p>
  </w:comment>
  <w:comment w:id="1" w:author="administrator [2]" w:date="2023-04-13T16:04:00Z" w:initials="">
    <w:p w14:paraId="3CD65C67">
      <w:pPr>
        <w:pStyle w:val="4"/>
        <w:rPr>
          <w:rFonts w:ascii="Times New Roman" w:hAnsi="Times New Roman" w:cs="Times New Roman"/>
        </w:rPr>
      </w:pPr>
      <w:r>
        <w:rPr>
          <w:rFonts w:hint="eastAsia"/>
        </w:rPr>
        <w:t>作者名字居中，以逗号隔开，</w:t>
      </w:r>
      <w:r>
        <w:rPr>
          <w:rFonts w:ascii="Times New Roman" w:hAnsi="Times New Roman" w:cs="Times New Roman"/>
        </w:rPr>
        <w:t>Times New Roman</w:t>
      </w:r>
      <w:r>
        <w:rPr>
          <w:rFonts w:ascii="Times New Roman" w:hAnsi="Times New Roman" w:cs="Times New Roman"/>
          <w:lang w:val="en-US"/>
        </w:rPr>
        <w:t>小</w:t>
      </w:r>
      <w:r>
        <w:rPr>
          <w:rFonts w:ascii="Times New Roman" w:hAnsi="Times New Roman" w:cs="Times New Roman"/>
        </w:rPr>
        <w:t>四</w:t>
      </w:r>
    </w:p>
  </w:comment>
  <w:comment w:id="2" w:author="administrator [2]" w:date="2023-04-13T14:48:00Z" w:initials="">
    <w:p w14:paraId="2F140FBF">
      <w:pPr>
        <w:pStyle w:val="4"/>
        <w:rPr>
          <w:lang w:val="en-US"/>
        </w:rPr>
      </w:pPr>
      <w:r>
        <w:rPr>
          <w:rFonts w:ascii="Times New Roman" w:hAnsi="Times New Roman" w:cs="Times New Roman"/>
        </w:rPr>
        <w:t>Times New Roman</w:t>
      </w:r>
      <w:r>
        <w:rPr>
          <w:rFonts w:ascii="Times New Roman" w:hAnsi="Times New Roman" w:cs="Times New Roman"/>
          <w:lang w:val="en-US"/>
        </w:rPr>
        <w:t>小四</w:t>
      </w:r>
      <w:r>
        <w:rPr>
          <w:rFonts w:hint="eastAsia"/>
          <w:lang w:val="en-US"/>
        </w:rPr>
        <w:t>，段前</w:t>
      </w:r>
      <w:r>
        <w:rPr>
          <w:rFonts w:ascii="Times New Roman" w:hAnsi="Times New Roman" w:cs="Times New Roman"/>
          <w:lang w:val="en-US"/>
        </w:rPr>
        <w:t>0行，段后8磅，行间距多倍行距1.08倍</w:t>
      </w:r>
      <w:r>
        <w:rPr>
          <w:rFonts w:hint="eastAsia"/>
          <w:lang w:val="en-US"/>
        </w:rPr>
        <w:t>。</w:t>
      </w:r>
    </w:p>
    <w:p w14:paraId="047E6AD6">
      <w:pPr>
        <w:pStyle w:val="4"/>
        <w:rPr>
          <w:lang w:val="en-US"/>
        </w:rPr>
      </w:pPr>
      <w:r>
        <w:rPr>
          <w:rFonts w:hint="eastAsia"/>
          <w:lang w:val="en-US"/>
        </w:rPr>
        <w:t>正文格式与此相同</w:t>
      </w:r>
    </w:p>
  </w:comment>
  <w:comment w:id="3" w:author="administrator [2]" w:date="2023-04-13T14:51:00Z" w:initials="">
    <w:p w14:paraId="54DC422D">
      <w:pPr>
        <w:pStyle w:val="4"/>
        <w:rPr>
          <w:lang w:val="en-US"/>
        </w:rPr>
      </w:pPr>
      <w:r>
        <w:rPr>
          <w:rFonts w:hint="eastAsia"/>
          <w:lang w:val="en-US"/>
        </w:rPr>
        <w:t>关键词3-5个，格式同上</w:t>
      </w:r>
    </w:p>
  </w:comment>
  <w:comment w:id="4" w:author="administrator [2]" w:date="2023-04-13T14:52:00Z" w:initials="">
    <w:p w14:paraId="0D66368E">
      <w:pPr>
        <w:pStyle w:val="4"/>
        <w:rPr>
          <w:lang w:val="en-US"/>
        </w:rPr>
      </w:pPr>
      <w:r>
        <w:rPr>
          <w:rFonts w:hint="eastAsia"/>
          <w:lang w:val="en-US"/>
        </w:rPr>
        <w:t>标题左对齐，</w:t>
      </w:r>
      <w:r>
        <w:rPr>
          <w:rFonts w:ascii="Times New Roman" w:hAnsi="Times New Roman" w:cs="Times New Roman"/>
          <w:lang w:val="en-US"/>
        </w:rPr>
        <w:t>Times New Roman四号加粗，段前0行，段后8磅，行间距多倍行距1.08倍</w:t>
      </w:r>
      <w:r>
        <w:rPr>
          <w:rFonts w:hint="eastAsia"/>
          <w:lang w:val="en-US"/>
        </w:rPr>
        <w:t>。</w:t>
      </w:r>
    </w:p>
  </w:comment>
  <w:comment w:id="5" w:author="administrator [2]" w:date="2023-04-13T14:53:00Z" w:initials="">
    <w:p w14:paraId="75EF7983">
      <w:pPr>
        <w:pStyle w:val="4"/>
        <w:rPr>
          <w:lang w:val="en-US"/>
        </w:rPr>
      </w:pPr>
      <w:r>
        <w:rPr>
          <w:rFonts w:ascii="Times New Roman" w:hAnsi="Times New Roman" w:cs="Times New Roman"/>
          <w:lang w:val="en-US"/>
        </w:rPr>
        <w:t>Times New Roman小四斜体加粗，段前0行，段后8磅，行间距多倍行距1.08</w:t>
      </w:r>
      <w:r>
        <w:rPr>
          <w:rFonts w:hint="eastAsia"/>
          <w:lang w:val="en-US"/>
        </w:rPr>
        <w:t>倍。</w:t>
      </w:r>
    </w:p>
    <w:p w14:paraId="2C494657">
      <w:pPr>
        <w:pStyle w:val="4"/>
        <w:rPr>
          <w:lang w:val="en-US"/>
        </w:rPr>
      </w:pPr>
      <w:r>
        <w:rPr>
          <w:rFonts w:hint="eastAsia"/>
          <w:lang w:val="en-US"/>
        </w:rPr>
        <w:t>正文标题统一为三级标题，即：</w:t>
      </w:r>
    </w:p>
    <w:p w14:paraId="2FFF3C61">
      <w:pPr>
        <w:pStyle w:val="4"/>
        <w:rPr>
          <w:lang w:val="en-US"/>
        </w:rPr>
      </w:pPr>
      <w:r>
        <w:rPr>
          <w:rFonts w:hint="eastAsia"/>
          <w:lang w:val="en-US"/>
        </w:rPr>
        <w:t>1.</w:t>
      </w:r>
    </w:p>
    <w:p w14:paraId="288F6C69">
      <w:pPr>
        <w:pStyle w:val="4"/>
        <w:rPr>
          <w:lang w:val="en-US"/>
        </w:rPr>
      </w:pPr>
      <w:r>
        <w:rPr>
          <w:rFonts w:hint="eastAsia"/>
          <w:lang w:val="en-US"/>
        </w:rPr>
        <w:t>1.1</w:t>
      </w:r>
    </w:p>
    <w:p w14:paraId="22CD3A61">
      <w:pPr>
        <w:pStyle w:val="4"/>
      </w:pPr>
      <w:r>
        <w:rPr>
          <w:rFonts w:hint="eastAsia"/>
          <w:lang w:val="en-US"/>
        </w:rPr>
        <w:t>1.1.1</w:t>
      </w:r>
    </w:p>
  </w:comment>
  <w:comment w:id="6" w:author="administrator [2]" w:date="2023-04-13T16:11:00Z" w:initials="">
    <w:p w14:paraId="261E7DD1">
      <w:pPr>
        <w:pStyle w:val="4"/>
      </w:pPr>
      <w:r>
        <w:rPr>
          <w:rFonts w:hint="eastAsia"/>
        </w:rPr>
        <w:t>参考文献文中引用，（作者姓氏，发表年份）/作者姓氏（发表年份）。两名作者加“</w:t>
      </w:r>
      <w:r>
        <w:rPr>
          <w:rFonts w:ascii="Times New Roman" w:hAnsi="Times New Roman" w:cs="Times New Roman"/>
          <w:sz w:val="24"/>
          <w:szCs w:val="24"/>
        </w:rPr>
        <w:t>and</w:t>
      </w:r>
      <w:r>
        <w:rPr>
          <w:rFonts w:ascii="Times New Roman" w:hAnsi="Times New Roman" w:cs="Times New Roman"/>
        </w:rPr>
        <w:t>”，三名作者及以上只列第一位作者，用“et al</w:t>
      </w:r>
      <w:r>
        <w:rPr>
          <w:rFonts w:hint="eastAsia"/>
        </w:rPr>
        <w:t>.”指代剩余作者。引用多篇文献加“；”。</w:t>
      </w:r>
    </w:p>
  </w:comment>
  <w:comment w:id="7" w:author="administrator [2]" w:date="2023-04-13T14:56:00Z" w:initials="">
    <w:p w14:paraId="489C5E9D">
      <w:pPr>
        <w:pStyle w:val="4"/>
        <w:rPr>
          <w:lang w:val="en-US"/>
        </w:rPr>
      </w:pPr>
      <w:r>
        <w:rPr>
          <w:rFonts w:hint="eastAsia"/>
        </w:rPr>
        <w:t>表标题位于表的上方，</w:t>
      </w:r>
      <w:r>
        <w:rPr>
          <w:rFonts w:ascii="Times New Roman" w:hAnsi="Times New Roman" w:cs="Times New Roman"/>
          <w:lang w:val="en-US"/>
        </w:rPr>
        <w:t xml:space="preserve">Times New Roman </w:t>
      </w:r>
      <w:r>
        <w:rPr>
          <w:rFonts w:hint="eastAsia" w:ascii="Times New Roman" w:hAnsi="Times New Roman" w:cs="Times New Roman"/>
          <w:lang w:val="en-US"/>
        </w:rPr>
        <w:t>小四</w:t>
      </w:r>
      <w:r>
        <w:rPr>
          <w:rFonts w:ascii="Times New Roman" w:hAnsi="Times New Roman" w:cs="Times New Roman"/>
        </w:rPr>
        <w:t>加粗，表内文字</w:t>
      </w:r>
      <w:r>
        <w:rPr>
          <w:rFonts w:ascii="Times New Roman" w:hAnsi="Times New Roman" w:cs="Times New Roman"/>
          <w:lang w:val="en-US"/>
        </w:rPr>
        <w:t xml:space="preserve">Times New Roman </w:t>
      </w:r>
      <w:r>
        <w:rPr>
          <w:rFonts w:hint="eastAsia" w:ascii="Times New Roman" w:hAnsi="Times New Roman" w:cs="Times New Roman"/>
          <w:lang w:val="en-US"/>
        </w:rPr>
        <w:t>小四，表下方数据来源</w:t>
      </w:r>
      <w:r>
        <w:rPr>
          <w:rFonts w:ascii="Times New Roman" w:hAnsi="Times New Roman" w:cs="Times New Roman"/>
          <w:lang w:val="en-US"/>
        </w:rPr>
        <w:t xml:space="preserve">Times New Roman </w:t>
      </w:r>
      <w:r>
        <w:rPr>
          <w:rFonts w:hint="eastAsia" w:ascii="Times New Roman" w:hAnsi="Times New Roman" w:cs="Times New Roman"/>
          <w:lang w:val="en-US"/>
        </w:rPr>
        <w:t>五号。</w:t>
      </w:r>
    </w:p>
  </w:comment>
  <w:comment w:id="8" w:author="administrator [2]" w:date="2023-04-13T16:14:00Z" w:initials="">
    <w:p w14:paraId="61721916">
      <w:pPr>
        <w:pStyle w:val="4"/>
      </w:pPr>
      <w:r>
        <w:rPr>
          <w:rFonts w:hint="eastAsia"/>
        </w:rPr>
        <w:t>图采用黑白色。图标题位于图的下方居中，</w:t>
      </w:r>
      <w:r>
        <w:rPr>
          <w:rFonts w:hint="default" w:ascii="Times New Roman" w:hAnsi="Times New Roman" w:cs="Times New Roman"/>
          <w:lang w:val="en-US"/>
        </w:rPr>
        <w:t xml:space="preserve">Times New Roman </w:t>
      </w:r>
      <w:r>
        <w:rPr>
          <w:rFonts w:hint="eastAsia"/>
          <w:lang w:val="en-US"/>
        </w:rPr>
        <w:t>小四</w:t>
      </w:r>
      <w:r>
        <w:rPr>
          <w:rFonts w:hint="eastAsia"/>
        </w:rPr>
        <w:t>加粗，图内文字</w:t>
      </w:r>
      <w:r>
        <w:rPr>
          <w:rFonts w:hint="default" w:ascii="Times New Roman" w:hAnsi="Times New Roman" w:cs="Times New Roman"/>
          <w:lang w:val="en-US"/>
        </w:rPr>
        <w:t>Times New Roman</w:t>
      </w:r>
      <w:r>
        <w:rPr>
          <w:rFonts w:hint="eastAsia"/>
          <w:lang w:val="en-US"/>
        </w:rPr>
        <w:t xml:space="preserve"> 小四</w:t>
      </w:r>
    </w:p>
  </w:comment>
  <w:comment w:id="9" w:author="administrator [2]" w:date="2023-04-13T16:15:00Z" w:initials="">
    <w:p w14:paraId="32E66B72">
      <w:pPr>
        <w:pStyle w:val="4"/>
        <w:rPr>
          <w:rFonts w:hint="eastAsia" w:eastAsiaTheme="minorEastAsia"/>
          <w:lang w:val="en-US" w:eastAsia="zh-CN"/>
        </w:rPr>
      </w:pPr>
      <w:r>
        <w:rPr>
          <w:rFonts w:hint="eastAsia"/>
        </w:rPr>
        <w:t>“</w:t>
      </w:r>
      <w:r>
        <w:rPr>
          <w:rFonts w:hint="default" w:ascii="Times New Roman" w:hAnsi="Times New Roman" w:cs="Times New Roman"/>
        </w:rPr>
        <w:t>Reference</w:t>
      </w:r>
      <w:r>
        <w:rPr>
          <w:rFonts w:hint="eastAsia"/>
        </w:rPr>
        <w:t>”放在论文尾末，参考文献的序号与文中引用顺序一一对应。</w:t>
      </w:r>
      <w:r>
        <w:rPr>
          <w:rFonts w:hint="eastAsia"/>
          <w:lang w:val="en-US" w:eastAsia="zh-CN"/>
        </w:rPr>
        <w:t>参考文献</w:t>
      </w:r>
      <w:r>
        <w:rPr>
          <w:rFonts w:hint="default" w:ascii="Times New Roman" w:hAnsi="Times New Roman" w:cs="Times New Roman"/>
          <w:lang w:val="en-US"/>
        </w:rPr>
        <w:t>Times New Roman</w:t>
      </w:r>
      <w:r>
        <w:rPr>
          <w:rFonts w:hint="eastAsia"/>
          <w:lang w:val="en-US"/>
        </w:rPr>
        <w:t xml:space="preserve"> 小四</w:t>
      </w:r>
    </w:p>
  </w:comment>
  <w:comment w:id="10" w:author="Administrator" w:date="2015-08-20T11:23:00Z" w:initials="YJ">
    <w:p w14:paraId="71F0401D">
      <w:pPr>
        <w:pStyle w:val="4"/>
      </w:pPr>
      <w:r>
        <w:rPr>
          <w:rFonts w:hint="eastAsia"/>
        </w:rPr>
        <w:t>宋体三号加粗</w:t>
      </w:r>
    </w:p>
    <w:p w14:paraId="7F4F0384">
      <w:pPr>
        <w:pStyle w:val="4"/>
      </w:pPr>
      <w:r>
        <w:rPr>
          <w:rFonts w:hint="eastAsia"/>
        </w:rPr>
        <w:t>1，脚注自定义标记号为*</w:t>
      </w:r>
    </w:p>
    <w:p w14:paraId="0677494A">
      <w:pPr>
        <w:pStyle w:val="4"/>
      </w:pPr>
      <w:r>
        <w:rPr>
          <w:rFonts w:hint="eastAsia"/>
        </w:rPr>
        <w:t>操作方法：选择标题文字-word菜单“引用”中“插入脚注”-选择自定义标记号“*”-应用更改选择“所选文字”-插入脚注</w:t>
      </w:r>
    </w:p>
    <w:p w14:paraId="18D74402">
      <w:pPr>
        <w:pStyle w:val="4"/>
      </w:pPr>
      <w:r>
        <w:rPr>
          <w:rFonts w:hint="eastAsia"/>
        </w:rPr>
        <w:t>2，文字格式为宋体五号。</w:t>
      </w:r>
    </w:p>
    <w:p w14:paraId="50396BE8">
      <w:pPr>
        <w:pStyle w:val="4"/>
      </w:pPr>
      <w:r>
        <w:rPr>
          <w:rFonts w:hint="eastAsia"/>
        </w:rPr>
        <w:t>3，“本文作者：作者姓名，学校</w:t>
      </w:r>
      <w:r>
        <w:t>-</w:t>
      </w:r>
      <w:r>
        <w:rPr>
          <w:rFonts w:hint="eastAsia"/>
        </w:rPr>
        <w:t>院系</w:t>
      </w:r>
      <w:r>
        <w:t>-</w:t>
      </w:r>
      <w:r>
        <w:rPr>
          <w:rFonts w:hint="eastAsia"/>
        </w:rPr>
        <w:t>年级</w:t>
      </w:r>
      <w:r>
        <w:t>-</w:t>
      </w:r>
      <w:r>
        <w:rPr>
          <w:rFonts w:hint="eastAsia"/>
        </w:rPr>
        <w:t>层次，如有两名作者中间用分号隔开”</w:t>
      </w:r>
    </w:p>
  </w:comment>
  <w:comment w:id="11" w:author="Administrator" w:date="2015-08-20T11:01:00Z" w:initials="YJ">
    <w:p w14:paraId="1953542C">
      <w:pPr>
        <w:pStyle w:val="4"/>
      </w:pPr>
      <w:r>
        <w:rPr>
          <w:rFonts w:hint="eastAsia"/>
        </w:rPr>
        <w:t>宋体小四，段前段后0行，行间距固定值20磅。</w:t>
      </w:r>
    </w:p>
    <w:p w14:paraId="0FC96BCB">
      <w:pPr>
        <w:pStyle w:val="4"/>
      </w:pPr>
      <w:r>
        <w:rPr>
          <w:rFonts w:hint="eastAsia"/>
        </w:rPr>
        <w:t>正文格式与此相同</w:t>
      </w:r>
    </w:p>
  </w:comment>
  <w:comment w:id="12" w:author="Administrator" w:date="2015-08-20T11:24:00Z" w:initials="YJ">
    <w:p w14:paraId="5F1E0E12">
      <w:pPr>
        <w:pStyle w:val="4"/>
      </w:pPr>
      <w:r>
        <w:rPr>
          <w:rFonts w:hint="eastAsia"/>
        </w:rPr>
        <w:t>关键词3-5个，格式同上</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0BF5753" w15:done="0"/>
  <w15:commentEx w15:paraId="3CD65C67" w15:done="0"/>
  <w15:commentEx w15:paraId="047E6AD6" w15:done="0"/>
  <w15:commentEx w15:paraId="54DC422D" w15:done="0"/>
  <w15:commentEx w15:paraId="0D66368E" w15:done="0"/>
  <w15:commentEx w15:paraId="22CD3A61" w15:done="0"/>
  <w15:commentEx w15:paraId="261E7DD1" w15:done="0"/>
  <w15:commentEx w15:paraId="489C5E9D" w15:done="0"/>
  <w15:commentEx w15:paraId="61721916" w15:done="0"/>
  <w15:commentEx w15:paraId="32E66B72" w15:done="0"/>
  <w15:commentEx w15:paraId="50396BE8" w15:done="0"/>
  <w15:commentEx w15:paraId="0FC96BCB" w15:done="0"/>
  <w15:commentEx w15:paraId="5F1E0E1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TimesNewRomanPSMT">
    <w:altName w:val="Times New Roman"/>
    <w:panose1 w:val="00000000000000000000"/>
    <w:charset w:val="A1"/>
    <w:family w:val="auto"/>
    <w:pitch w:val="default"/>
    <w:sig w:usb0="00000000" w:usb1="00000000" w:usb2="00000000" w:usb3="00000000" w:csb0="00000008" w:csb1="00000000"/>
  </w:font>
  <w:font w:name="Cambria Math">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Verdana Italic">
    <w:altName w:val="Verdana"/>
    <w:panose1 w:val="020B06040305040B0204"/>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Verdana">
    <w:panose1 w:val="020B0604030504040204"/>
    <w:charset w:val="00"/>
    <w:family w:val="auto"/>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05574043"/>
    </w:sdtPr>
    <w:sdtContent>
      <w:p>
        <w:pPr>
          <w:pStyle w:val="6"/>
          <w:jc w:val="center"/>
        </w:pPr>
        <w:r>
          <w:fldChar w:fldCharType="begin"/>
        </w:r>
        <w:r>
          <w:instrText xml:space="preserve"> PAGE   \* MERGEFORMAT </w:instrText>
        </w:r>
        <w:r>
          <w:fldChar w:fldCharType="separate"/>
        </w:r>
        <w:r>
          <w:t>4</w:t>
        </w:r>
        <w:r>
          <w:fldChar w:fldCharType="end"/>
        </w:r>
      </w:p>
    </w:sdtContent>
  </w:sdt>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before="0" w:after="0" w:line="259" w:lineRule="auto"/>
      </w:pPr>
      <w:r>
        <w:separator/>
      </w:r>
    </w:p>
  </w:footnote>
  <w:footnote w:type="continuationSeparator" w:id="5">
    <w:p>
      <w:pPr>
        <w:spacing w:before="0" w:after="0" w:line="259" w:lineRule="auto"/>
      </w:pPr>
      <w:r>
        <w:continuationSeparator/>
      </w:r>
    </w:p>
  </w:footnote>
  <w:footnote w:id="0">
    <w:p>
      <w:pPr>
        <w:pStyle w:val="8"/>
        <w:rPr>
          <w:rFonts w:ascii="Times New Roman" w:hAnsi="Times New Roman" w:cs="Times New Roman"/>
          <w:sz w:val="21"/>
          <w:szCs w:val="21"/>
        </w:rPr>
      </w:pPr>
      <w:r>
        <w:rPr>
          <w:rStyle w:val="15"/>
        </w:rPr>
        <w:t>*</w:t>
      </w:r>
      <w:r>
        <w:t xml:space="preserve"> </w:t>
      </w:r>
      <w:r>
        <w:rPr>
          <w:rFonts w:ascii="Times New Roman" w:hAnsi="Times New Roman" w:cs="Times New Roman"/>
          <w:sz w:val="21"/>
          <w:szCs w:val="21"/>
        </w:rPr>
        <w:t xml:space="preserve">Author: ***, China Institute for Rural Studies, Tsinghua University. </w:t>
      </w:r>
    </w:p>
    <w:p>
      <w:pPr>
        <w:pStyle w:val="8"/>
        <w:rPr>
          <w:rFonts w:ascii="Times New Roman" w:hAnsi="Times New Roman" w:cs="Times New Roman"/>
          <w:sz w:val="21"/>
          <w:szCs w:val="21"/>
        </w:rPr>
      </w:pPr>
      <w:r>
        <w:rPr>
          <w:rFonts w:ascii="Times New Roman" w:hAnsi="Times New Roman" w:cs="Times New Roman"/>
          <w:sz w:val="21"/>
          <w:szCs w:val="21"/>
        </w:rPr>
        <w:t>Corresponding Author:***, China Institute for Rural Studies, Tsinghua University. Email:</w:t>
      </w:r>
      <w:r>
        <w:rPr>
          <w:rFonts w:ascii="Times New Roman" w:hAnsi="Times New Roman" w:cs="Times New Roman"/>
          <w:sz w:val="21"/>
          <w:szCs w:val="21"/>
          <w:lang w:val="en-US"/>
        </w:rPr>
        <w:t xml:space="preserve"> ······</w:t>
      </w:r>
    </w:p>
  </w:footnote>
  <w:footnote w:id="1">
    <w:p>
      <w:pPr>
        <w:pStyle w:val="8"/>
        <w:rPr>
          <w:sz w:val="21"/>
          <w:szCs w:val="21"/>
        </w:rPr>
      </w:pPr>
      <w:r>
        <w:rPr>
          <w:rStyle w:val="15"/>
        </w:rPr>
        <w:sym w:font="Symbol" w:char="F02A"/>
      </w:r>
      <w:r>
        <w:rPr>
          <w:rFonts w:hint="eastAsia"/>
          <w:sz w:val="21"/>
          <w:szCs w:val="21"/>
        </w:rPr>
        <w:t>本文作者：**，清华大学经济管理学院2014级博士研究生；**，清华大学经济管理学院教授。</w:t>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2]">
    <w15:presenceInfo w15:providerId="None" w15:userId="administrator [2]"/>
  </w15:person>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hideGrammaticalErrors/>
  <w:documentProtection w:enforcement="0"/>
  <w:defaultTabStop w:val="720"/>
  <w:characterSpacingControl w:val="doNotCompress"/>
  <w:footnotePr>
    <w:footnote w:id="4"/>
    <w:footnote w:id="5"/>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EzsDQ3NTG1NLU0NrBQ0lEKTi0uzszPAykwrQUA5fitiSwAAAA="/>
    <w:docVar w:name="commondata" w:val="eyJoZGlkIjoiMDdmYzM5OGZhMDNiMTU4NjU3NjhlN2U1Njg3ZDhmNmYifQ=="/>
    <w:docVar w:name="EN.InstantFormat" w:val="&lt;ENInstantFormat&gt;&lt;Enabled&gt;1&lt;/Enabled&gt;&lt;ScanUnformatted&gt;1&lt;/ScanUnformatted&gt;&lt;ScanChanges&gt;1&lt;/ScanChanges&gt;&lt;Suspended&gt;0&lt;/Suspended&gt;&lt;/ENInstantFormat&gt;"/>
    <w:docVar w:name="EN.Layout" w:val="&lt;ENLayout&gt;&lt;Style&gt;China Economic Review&lt;/Style&gt;&lt;LeftDelim&gt;{&lt;/LeftDelim&gt;&lt;RightDelim&gt;}&lt;/RightDelim&gt;&lt;FontName&gt;Calibri&lt;/FontName&gt;&lt;FontSize&gt;11&lt;/FontSize&gt;&lt;ReflistTitle&gt;&lt;style font=&quot;Arial&quot;&gt;References&lt;/sty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ptst5raus50wheax9r5tzznvaz25sd9te0x&quot;&gt;Educational mobility&lt;record-ids&gt;&lt;item&gt;92&lt;/item&gt;&lt;item&gt;120&lt;/item&gt;&lt;item&gt;142&lt;/item&gt;&lt;item&gt;143&lt;/item&gt;&lt;item&gt;151&lt;/item&gt;&lt;item&gt;213&lt;/item&gt;&lt;item&gt;228&lt;/item&gt;&lt;item&gt;229&lt;/item&gt;&lt;item&gt;238&lt;/item&gt;&lt;item&gt;240&lt;/item&gt;&lt;item&gt;242&lt;/item&gt;&lt;item&gt;247&lt;/item&gt;&lt;item&gt;257&lt;/item&gt;&lt;item&gt;258&lt;/item&gt;&lt;item&gt;274&lt;/item&gt;&lt;item&gt;295&lt;/item&gt;&lt;item&gt;316&lt;/item&gt;&lt;item&gt;337&lt;/item&gt;&lt;item&gt;338&lt;/item&gt;&lt;item&gt;339&lt;/item&gt;&lt;item&gt;340&lt;/item&gt;&lt;item&gt;341&lt;/item&gt;&lt;item&gt;342&lt;/item&gt;&lt;item&gt;343&lt;/item&gt;&lt;item&gt;344&lt;/item&gt;&lt;item&gt;345&lt;/item&gt;&lt;item&gt;346&lt;/item&gt;&lt;item&gt;347&lt;/item&gt;&lt;item&gt;348&lt;/item&gt;&lt;item&gt;349&lt;/item&gt;&lt;item&gt;350&lt;/item&gt;&lt;item&gt;351&lt;/item&gt;&lt;item&gt;352&lt;/item&gt;&lt;item&gt;353&lt;/item&gt;&lt;/record-ids&gt;&lt;/item&gt;&lt;/Libraries&gt;"/>
  </w:docVars>
  <w:rsids>
    <w:rsidRoot w:val="003D2938"/>
    <w:rsid w:val="000036D0"/>
    <w:rsid w:val="00004513"/>
    <w:rsid w:val="00007B7A"/>
    <w:rsid w:val="00022A9A"/>
    <w:rsid w:val="00027381"/>
    <w:rsid w:val="00031DAE"/>
    <w:rsid w:val="00034AF5"/>
    <w:rsid w:val="000442BF"/>
    <w:rsid w:val="00045FC2"/>
    <w:rsid w:val="00046543"/>
    <w:rsid w:val="00051CCA"/>
    <w:rsid w:val="000527AF"/>
    <w:rsid w:val="00054404"/>
    <w:rsid w:val="000867E1"/>
    <w:rsid w:val="00096040"/>
    <w:rsid w:val="00096C89"/>
    <w:rsid w:val="000A1B1C"/>
    <w:rsid w:val="000A21E3"/>
    <w:rsid w:val="000B4FE0"/>
    <w:rsid w:val="000C1E39"/>
    <w:rsid w:val="000C210D"/>
    <w:rsid w:val="000D378F"/>
    <w:rsid w:val="000D7962"/>
    <w:rsid w:val="000D7BDB"/>
    <w:rsid w:val="000E3EBB"/>
    <w:rsid w:val="000F48CE"/>
    <w:rsid w:val="001061EF"/>
    <w:rsid w:val="0011220A"/>
    <w:rsid w:val="00117CA6"/>
    <w:rsid w:val="00123A74"/>
    <w:rsid w:val="00127EB0"/>
    <w:rsid w:val="00132533"/>
    <w:rsid w:val="001463D0"/>
    <w:rsid w:val="00152A9D"/>
    <w:rsid w:val="00153085"/>
    <w:rsid w:val="00153991"/>
    <w:rsid w:val="00164A0A"/>
    <w:rsid w:val="001665D6"/>
    <w:rsid w:val="001705DA"/>
    <w:rsid w:val="001751B3"/>
    <w:rsid w:val="0018224B"/>
    <w:rsid w:val="001822D5"/>
    <w:rsid w:val="00183DFE"/>
    <w:rsid w:val="00184E4C"/>
    <w:rsid w:val="00192838"/>
    <w:rsid w:val="00193201"/>
    <w:rsid w:val="001B204A"/>
    <w:rsid w:val="001B2890"/>
    <w:rsid w:val="001C0E4F"/>
    <w:rsid w:val="001D0616"/>
    <w:rsid w:val="001D21B1"/>
    <w:rsid w:val="001F766A"/>
    <w:rsid w:val="002116E0"/>
    <w:rsid w:val="002177C3"/>
    <w:rsid w:val="00220306"/>
    <w:rsid w:val="00224CA2"/>
    <w:rsid w:val="002272C7"/>
    <w:rsid w:val="00227A76"/>
    <w:rsid w:val="00237315"/>
    <w:rsid w:val="0024168F"/>
    <w:rsid w:val="002470A7"/>
    <w:rsid w:val="002477CA"/>
    <w:rsid w:val="00253EFB"/>
    <w:rsid w:val="002575A4"/>
    <w:rsid w:val="0026421C"/>
    <w:rsid w:val="0027017B"/>
    <w:rsid w:val="002759CF"/>
    <w:rsid w:val="00295911"/>
    <w:rsid w:val="002A5004"/>
    <w:rsid w:val="002B1D1E"/>
    <w:rsid w:val="002C4D3F"/>
    <w:rsid w:val="002C7227"/>
    <w:rsid w:val="002D12B6"/>
    <w:rsid w:val="002D1A63"/>
    <w:rsid w:val="002D1ED0"/>
    <w:rsid w:val="002F42D9"/>
    <w:rsid w:val="00300301"/>
    <w:rsid w:val="003016EB"/>
    <w:rsid w:val="003059E2"/>
    <w:rsid w:val="00320A48"/>
    <w:rsid w:val="00324947"/>
    <w:rsid w:val="00334F2D"/>
    <w:rsid w:val="003413A7"/>
    <w:rsid w:val="00345F0D"/>
    <w:rsid w:val="00351BF4"/>
    <w:rsid w:val="0035571E"/>
    <w:rsid w:val="00356DD4"/>
    <w:rsid w:val="00357CAF"/>
    <w:rsid w:val="00360913"/>
    <w:rsid w:val="00370641"/>
    <w:rsid w:val="00370EFD"/>
    <w:rsid w:val="003724DD"/>
    <w:rsid w:val="003827F4"/>
    <w:rsid w:val="00382CF0"/>
    <w:rsid w:val="00383C53"/>
    <w:rsid w:val="003A144E"/>
    <w:rsid w:val="003B7776"/>
    <w:rsid w:val="003C0051"/>
    <w:rsid w:val="003C47BD"/>
    <w:rsid w:val="003D2938"/>
    <w:rsid w:val="003D4204"/>
    <w:rsid w:val="003D561A"/>
    <w:rsid w:val="003E03A6"/>
    <w:rsid w:val="003E50AF"/>
    <w:rsid w:val="003F088D"/>
    <w:rsid w:val="003F2310"/>
    <w:rsid w:val="00400E01"/>
    <w:rsid w:val="004278A2"/>
    <w:rsid w:val="004348A7"/>
    <w:rsid w:val="00446868"/>
    <w:rsid w:val="00447848"/>
    <w:rsid w:val="00451CCF"/>
    <w:rsid w:val="00453650"/>
    <w:rsid w:val="00482994"/>
    <w:rsid w:val="00482D07"/>
    <w:rsid w:val="004832F4"/>
    <w:rsid w:val="00490DB9"/>
    <w:rsid w:val="00491B3B"/>
    <w:rsid w:val="00496C33"/>
    <w:rsid w:val="004A67EC"/>
    <w:rsid w:val="004B2331"/>
    <w:rsid w:val="004D0B78"/>
    <w:rsid w:val="004D7244"/>
    <w:rsid w:val="004E3BB0"/>
    <w:rsid w:val="0050025B"/>
    <w:rsid w:val="005024FF"/>
    <w:rsid w:val="00504537"/>
    <w:rsid w:val="005138A5"/>
    <w:rsid w:val="005211D7"/>
    <w:rsid w:val="00542DE7"/>
    <w:rsid w:val="00545C58"/>
    <w:rsid w:val="00555D21"/>
    <w:rsid w:val="005801CE"/>
    <w:rsid w:val="00580B51"/>
    <w:rsid w:val="00583D8E"/>
    <w:rsid w:val="00584201"/>
    <w:rsid w:val="005940C4"/>
    <w:rsid w:val="005A2051"/>
    <w:rsid w:val="005C6918"/>
    <w:rsid w:val="005C6DEC"/>
    <w:rsid w:val="005D0604"/>
    <w:rsid w:val="005F7555"/>
    <w:rsid w:val="006268A8"/>
    <w:rsid w:val="006417A5"/>
    <w:rsid w:val="006658ED"/>
    <w:rsid w:val="006B6CC7"/>
    <w:rsid w:val="006C2193"/>
    <w:rsid w:val="006D3665"/>
    <w:rsid w:val="006D6536"/>
    <w:rsid w:val="006F7228"/>
    <w:rsid w:val="007103E1"/>
    <w:rsid w:val="00717C9C"/>
    <w:rsid w:val="00725705"/>
    <w:rsid w:val="007263EF"/>
    <w:rsid w:val="0073585D"/>
    <w:rsid w:val="0074185A"/>
    <w:rsid w:val="007418FF"/>
    <w:rsid w:val="00745FBB"/>
    <w:rsid w:val="007536C3"/>
    <w:rsid w:val="00773FC8"/>
    <w:rsid w:val="00774BC1"/>
    <w:rsid w:val="00781E84"/>
    <w:rsid w:val="00783FA4"/>
    <w:rsid w:val="00786E9F"/>
    <w:rsid w:val="00787A84"/>
    <w:rsid w:val="00787FD2"/>
    <w:rsid w:val="007A1DDB"/>
    <w:rsid w:val="007A40D5"/>
    <w:rsid w:val="007B478A"/>
    <w:rsid w:val="007B6608"/>
    <w:rsid w:val="007C03B2"/>
    <w:rsid w:val="007D3D44"/>
    <w:rsid w:val="007E4419"/>
    <w:rsid w:val="007E64FB"/>
    <w:rsid w:val="007F2D6F"/>
    <w:rsid w:val="007F58D8"/>
    <w:rsid w:val="007F66F7"/>
    <w:rsid w:val="00804DBD"/>
    <w:rsid w:val="00823587"/>
    <w:rsid w:val="00837B6D"/>
    <w:rsid w:val="00844734"/>
    <w:rsid w:val="008528D4"/>
    <w:rsid w:val="008673CF"/>
    <w:rsid w:val="00881737"/>
    <w:rsid w:val="0088222B"/>
    <w:rsid w:val="00884EB5"/>
    <w:rsid w:val="00897E37"/>
    <w:rsid w:val="008A0254"/>
    <w:rsid w:val="008A7956"/>
    <w:rsid w:val="008B2F90"/>
    <w:rsid w:val="008D0D0B"/>
    <w:rsid w:val="008D7129"/>
    <w:rsid w:val="009058CA"/>
    <w:rsid w:val="00907A50"/>
    <w:rsid w:val="00911792"/>
    <w:rsid w:val="00912A7C"/>
    <w:rsid w:val="00914EAC"/>
    <w:rsid w:val="00915611"/>
    <w:rsid w:val="00922BAA"/>
    <w:rsid w:val="00953F16"/>
    <w:rsid w:val="00962077"/>
    <w:rsid w:val="0096550D"/>
    <w:rsid w:val="00970646"/>
    <w:rsid w:val="0097229E"/>
    <w:rsid w:val="0097356A"/>
    <w:rsid w:val="00984158"/>
    <w:rsid w:val="009872CC"/>
    <w:rsid w:val="009B6DAF"/>
    <w:rsid w:val="009D1C92"/>
    <w:rsid w:val="009D638F"/>
    <w:rsid w:val="009D7F9B"/>
    <w:rsid w:val="009E41D5"/>
    <w:rsid w:val="009E7C35"/>
    <w:rsid w:val="009F06FB"/>
    <w:rsid w:val="00A028DD"/>
    <w:rsid w:val="00A11AC9"/>
    <w:rsid w:val="00A16B71"/>
    <w:rsid w:val="00A2052C"/>
    <w:rsid w:val="00A21FB2"/>
    <w:rsid w:val="00A30A6D"/>
    <w:rsid w:val="00A34794"/>
    <w:rsid w:val="00A41E83"/>
    <w:rsid w:val="00A45F8D"/>
    <w:rsid w:val="00A54FBF"/>
    <w:rsid w:val="00A6030C"/>
    <w:rsid w:val="00A64274"/>
    <w:rsid w:val="00A70AA7"/>
    <w:rsid w:val="00A80910"/>
    <w:rsid w:val="00A84786"/>
    <w:rsid w:val="00A9066C"/>
    <w:rsid w:val="00A96B28"/>
    <w:rsid w:val="00A96BB1"/>
    <w:rsid w:val="00AD7603"/>
    <w:rsid w:val="00AE3A0A"/>
    <w:rsid w:val="00AE73DF"/>
    <w:rsid w:val="00B0023E"/>
    <w:rsid w:val="00B152EB"/>
    <w:rsid w:val="00B166A3"/>
    <w:rsid w:val="00B254B2"/>
    <w:rsid w:val="00B2719D"/>
    <w:rsid w:val="00B35184"/>
    <w:rsid w:val="00B36593"/>
    <w:rsid w:val="00B614D2"/>
    <w:rsid w:val="00B70846"/>
    <w:rsid w:val="00B7183F"/>
    <w:rsid w:val="00B75303"/>
    <w:rsid w:val="00B75D8B"/>
    <w:rsid w:val="00B84514"/>
    <w:rsid w:val="00B87CBB"/>
    <w:rsid w:val="00BB2265"/>
    <w:rsid w:val="00BB6F90"/>
    <w:rsid w:val="00BE3627"/>
    <w:rsid w:val="00BF43BE"/>
    <w:rsid w:val="00C019D7"/>
    <w:rsid w:val="00C07766"/>
    <w:rsid w:val="00C1577B"/>
    <w:rsid w:val="00C43714"/>
    <w:rsid w:val="00C6016D"/>
    <w:rsid w:val="00C64A5C"/>
    <w:rsid w:val="00C64AB3"/>
    <w:rsid w:val="00C855CA"/>
    <w:rsid w:val="00CB2E25"/>
    <w:rsid w:val="00CC77F5"/>
    <w:rsid w:val="00CE0BBF"/>
    <w:rsid w:val="00CE28B2"/>
    <w:rsid w:val="00CF39E4"/>
    <w:rsid w:val="00CF6541"/>
    <w:rsid w:val="00D06E88"/>
    <w:rsid w:val="00D14CF3"/>
    <w:rsid w:val="00D15E22"/>
    <w:rsid w:val="00D176DE"/>
    <w:rsid w:val="00D25F02"/>
    <w:rsid w:val="00D308A1"/>
    <w:rsid w:val="00D40A57"/>
    <w:rsid w:val="00D438C8"/>
    <w:rsid w:val="00D60A16"/>
    <w:rsid w:val="00D715D1"/>
    <w:rsid w:val="00D751E1"/>
    <w:rsid w:val="00D754D2"/>
    <w:rsid w:val="00D92A3C"/>
    <w:rsid w:val="00DA476F"/>
    <w:rsid w:val="00DA7457"/>
    <w:rsid w:val="00DD48FD"/>
    <w:rsid w:val="00DD5655"/>
    <w:rsid w:val="00DD61DA"/>
    <w:rsid w:val="00DD65E0"/>
    <w:rsid w:val="00DD66C5"/>
    <w:rsid w:val="00DD7584"/>
    <w:rsid w:val="00DE6485"/>
    <w:rsid w:val="00DF1344"/>
    <w:rsid w:val="00DF72D4"/>
    <w:rsid w:val="00E12EA6"/>
    <w:rsid w:val="00E15AC8"/>
    <w:rsid w:val="00E20129"/>
    <w:rsid w:val="00E2128C"/>
    <w:rsid w:val="00E339E5"/>
    <w:rsid w:val="00E46001"/>
    <w:rsid w:val="00E52031"/>
    <w:rsid w:val="00E54386"/>
    <w:rsid w:val="00E84E5A"/>
    <w:rsid w:val="00E9316E"/>
    <w:rsid w:val="00E946A3"/>
    <w:rsid w:val="00EA2AA0"/>
    <w:rsid w:val="00EA6733"/>
    <w:rsid w:val="00EA7690"/>
    <w:rsid w:val="00EB302C"/>
    <w:rsid w:val="00EB5B0D"/>
    <w:rsid w:val="00EB5B20"/>
    <w:rsid w:val="00EB795E"/>
    <w:rsid w:val="00EC0456"/>
    <w:rsid w:val="00EC4316"/>
    <w:rsid w:val="00EC73B6"/>
    <w:rsid w:val="00EE2068"/>
    <w:rsid w:val="00EF3246"/>
    <w:rsid w:val="00F0161C"/>
    <w:rsid w:val="00F03380"/>
    <w:rsid w:val="00F16948"/>
    <w:rsid w:val="00F234F4"/>
    <w:rsid w:val="00F23FD1"/>
    <w:rsid w:val="00F45F68"/>
    <w:rsid w:val="00F465F2"/>
    <w:rsid w:val="00F774E2"/>
    <w:rsid w:val="00F83959"/>
    <w:rsid w:val="00F85294"/>
    <w:rsid w:val="00F91572"/>
    <w:rsid w:val="00F930E9"/>
    <w:rsid w:val="00F944FE"/>
    <w:rsid w:val="00F96237"/>
    <w:rsid w:val="00FB2C6E"/>
    <w:rsid w:val="00FD1F31"/>
    <w:rsid w:val="00FD4F93"/>
    <w:rsid w:val="00FE2541"/>
    <w:rsid w:val="00FE632C"/>
    <w:rsid w:val="00FF180F"/>
    <w:rsid w:val="00FF1C23"/>
    <w:rsid w:val="00FF20C6"/>
    <w:rsid w:val="1154735C"/>
    <w:rsid w:val="23497E2E"/>
    <w:rsid w:val="2A7325F1"/>
    <w:rsid w:val="4A4335C6"/>
    <w:rsid w:val="68B10DCE"/>
    <w:rsid w:val="68C26DE8"/>
    <w:rsid w:val="729A3D44"/>
    <w:rsid w:val="74902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AU" w:eastAsia="zh-CN" w:bidi="ar-SA"/>
    </w:rPr>
  </w:style>
  <w:style w:type="paragraph" w:styleId="2">
    <w:name w:val="heading 1"/>
    <w:basedOn w:val="1"/>
    <w:next w:val="1"/>
    <w:link w:val="16"/>
    <w:qFormat/>
    <w:uiPriority w:val="9"/>
    <w:pPr>
      <w:spacing w:before="100" w:beforeAutospacing="1" w:after="100" w:afterAutospacing="1" w:line="240" w:lineRule="auto"/>
      <w:outlineLvl w:val="0"/>
    </w:pPr>
    <w:rPr>
      <w:rFonts w:ascii="宋体" w:hAnsi="宋体" w:eastAsia="宋体" w:cs="宋体"/>
      <w:b/>
      <w:bCs/>
      <w:kern w:val="36"/>
      <w:sz w:val="48"/>
      <w:szCs w:val="48"/>
      <w:lang w:val="en-US"/>
    </w:rPr>
  </w:style>
  <w:style w:type="paragraph" w:styleId="3">
    <w:name w:val="heading 2"/>
    <w:basedOn w:val="1"/>
    <w:next w:val="1"/>
    <w:unhideWhenUsed/>
    <w:qFormat/>
    <w:uiPriority w:val="9"/>
    <w:pPr>
      <w:keepNext/>
      <w:keepLines/>
      <w:spacing w:before="260" w:after="260" w:line="416" w:lineRule="auto"/>
      <w:outlineLvl w:val="1"/>
    </w:pPr>
    <w:rPr>
      <w:rFonts w:ascii="Cambria" w:hAnsi="Cambria"/>
      <w:b/>
      <w:bCs/>
      <w:sz w:val="32"/>
      <w:szCs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7"/>
    <w:unhideWhenUsed/>
    <w:qFormat/>
    <w:uiPriority w:val="99"/>
    <w:pPr>
      <w:spacing w:line="240" w:lineRule="auto"/>
    </w:pPr>
    <w:rPr>
      <w:sz w:val="20"/>
      <w:szCs w:val="20"/>
    </w:rPr>
  </w:style>
  <w:style w:type="paragraph" w:styleId="5">
    <w:name w:val="Balloon Text"/>
    <w:basedOn w:val="1"/>
    <w:link w:val="21"/>
    <w:semiHidden/>
    <w:unhideWhenUsed/>
    <w:qFormat/>
    <w:uiPriority w:val="99"/>
    <w:pPr>
      <w:spacing w:after="0" w:line="240" w:lineRule="auto"/>
    </w:pPr>
    <w:rPr>
      <w:sz w:val="18"/>
      <w:szCs w:val="18"/>
    </w:rPr>
  </w:style>
  <w:style w:type="paragraph" w:styleId="6">
    <w:name w:val="footer"/>
    <w:basedOn w:val="1"/>
    <w:link w:val="20"/>
    <w:unhideWhenUsed/>
    <w:qFormat/>
    <w:uiPriority w:val="99"/>
    <w:pPr>
      <w:tabs>
        <w:tab w:val="center" w:pos="4153"/>
        <w:tab w:val="right" w:pos="8306"/>
      </w:tabs>
      <w:snapToGrid w:val="0"/>
      <w:spacing w:line="240" w:lineRule="auto"/>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8">
    <w:name w:val="footnote text"/>
    <w:basedOn w:val="1"/>
    <w:link w:val="18"/>
    <w:semiHidden/>
    <w:unhideWhenUsed/>
    <w:qFormat/>
    <w:uiPriority w:val="99"/>
    <w:pPr>
      <w:spacing w:after="0" w:line="240" w:lineRule="auto"/>
    </w:pPr>
    <w:rPr>
      <w:sz w:val="20"/>
      <w:szCs w:val="20"/>
    </w:rPr>
  </w:style>
  <w:style w:type="paragraph" w:styleId="9">
    <w:name w:val="Normal (Web)"/>
    <w:basedOn w:val="1"/>
    <w:semiHidden/>
    <w:unhideWhenUsed/>
    <w:qFormat/>
    <w:uiPriority w:val="99"/>
    <w:pPr>
      <w:spacing w:before="100" w:beforeAutospacing="1" w:after="100" w:afterAutospacing="1" w:line="240" w:lineRule="auto"/>
    </w:pPr>
    <w:rPr>
      <w:rFonts w:ascii="Times New Roman" w:hAnsi="Times New Roman" w:cs="Times New Roman"/>
      <w:sz w:val="24"/>
      <w:szCs w:val="24"/>
    </w:rPr>
  </w:style>
  <w:style w:type="paragraph" w:styleId="10">
    <w:name w:val="annotation subject"/>
    <w:basedOn w:val="4"/>
    <w:next w:val="4"/>
    <w:link w:val="28"/>
    <w:semiHidden/>
    <w:unhideWhenUsed/>
    <w:qFormat/>
    <w:uiPriority w:val="99"/>
    <w:rPr>
      <w:b/>
      <w:bCs/>
    </w:r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styleId="14">
    <w:name w:val="annotation reference"/>
    <w:basedOn w:val="12"/>
    <w:semiHidden/>
    <w:unhideWhenUsed/>
    <w:qFormat/>
    <w:uiPriority w:val="99"/>
    <w:rPr>
      <w:sz w:val="16"/>
      <w:szCs w:val="16"/>
    </w:rPr>
  </w:style>
  <w:style w:type="character" w:styleId="15">
    <w:name w:val="footnote reference"/>
    <w:basedOn w:val="12"/>
    <w:semiHidden/>
    <w:unhideWhenUsed/>
    <w:qFormat/>
    <w:uiPriority w:val="99"/>
    <w:rPr>
      <w:vertAlign w:val="superscript"/>
    </w:rPr>
  </w:style>
  <w:style w:type="character" w:customStyle="1" w:styleId="16">
    <w:name w:val="标题 1 字符"/>
    <w:basedOn w:val="12"/>
    <w:link w:val="2"/>
    <w:qFormat/>
    <w:uiPriority w:val="9"/>
    <w:rPr>
      <w:rFonts w:ascii="宋体" w:hAnsi="宋体" w:eastAsia="宋体" w:cs="宋体"/>
      <w:b/>
      <w:bCs/>
      <w:kern w:val="36"/>
      <w:sz w:val="48"/>
      <w:szCs w:val="48"/>
      <w:lang w:val="en-US"/>
    </w:rPr>
  </w:style>
  <w:style w:type="paragraph" w:styleId="17">
    <w:name w:val="List Paragraph"/>
    <w:basedOn w:val="1"/>
    <w:qFormat/>
    <w:uiPriority w:val="34"/>
    <w:pPr>
      <w:ind w:left="720"/>
      <w:contextualSpacing/>
    </w:pPr>
  </w:style>
  <w:style w:type="character" w:customStyle="1" w:styleId="18">
    <w:name w:val="脚注文本 字符"/>
    <w:basedOn w:val="12"/>
    <w:link w:val="8"/>
    <w:semiHidden/>
    <w:qFormat/>
    <w:uiPriority w:val="99"/>
    <w:rPr>
      <w:sz w:val="20"/>
      <w:szCs w:val="20"/>
    </w:rPr>
  </w:style>
  <w:style w:type="character" w:customStyle="1" w:styleId="19">
    <w:name w:val="页眉 字符"/>
    <w:basedOn w:val="12"/>
    <w:link w:val="7"/>
    <w:qFormat/>
    <w:uiPriority w:val="99"/>
    <w:rPr>
      <w:sz w:val="18"/>
      <w:szCs w:val="18"/>
    </w:rPr>
  </w:style>
  <w:style w:type="character" w:customStyle="1" w:styleId="20">
    <w:name w:val="页脚 字符"/>
    <w:basedOn w:val="12"/>
    <w:link w:val="6"/>
    <w:qFormat/>
    <w:uiPriority w:val="99"/>
    <w:rPr>
      <w:sz w:val="18"/>
      <w:szCs w:val="18"/>
    </w:rPr>
  </w:style>
  <w:style w:type="character" w:customStyle="1" w:styleId="21">
    <w:name w:val="批注框文本 字符"/>
    <w:basedOn w:val="12"/>
    <w:link w:val="5"/>
    <w:semiHidden/>
    <w:qFormat/>
    <w:uiPriority w:val="99"/>
    <w:rPr>
      <w:sz w:val="18"/>
      <w:szCs w:val="18"/>
    </w:rPr>
  </w:style>
  <w:style w:type="character" w:styleId="22">
    <w:name w:val="Placeholder Text"/>
    <w:basedOn w:val="12"/>
    <w:semiHidden/>
    <w:qFormat/>
    <w:uiPriority w:val="99"/>
    <w:rPr>
      <w:color w:val="808080"/>
    </w:rPr>
  </w:style>
  <w:style w:type="paragraph" w:customStyle="1" w:styleId="23">
    <w:name w:val="EndNote Bibliography Title"/>
    <w:basedOn w:val="1"/>
    <w:link w:val="24"/>
    <w:qFormat/>
    <w:uiPriority w:val="0"/>
    <w:pPr>
      <w:spacing w:after="0"/>
      <w:jc w:val="center"/>
    </w:pPr>
    <w:rPr>
      <w:rFonts w:ascii="Calibri" w:hAnsi="Calibri" w:cs="Calibri"/>
    </w:rPr>
  </w:style>
  <w:style w:type="character" w:customStyle="1" w:styleId="24">
    <w:name w:val="EndNote Bibliography Title Char"/>
    <w:basedOn w:val="12"/>
    <w:link w:val="23"/>
    <w:qFormat/>
    <w:uiPriority w:val="0"/>
    <w:rPr>
      <w:rFonts w:ascii="Calibri" w:hAnsi="Calibri" w:cs="Calibri"/>
    </w:rPr>
  </w:style>
  <w:style w:type="paragraph" w:customStyle="1" w:styleId="25">
    <w:name w:val="EndNote Bibliography"/>
    <w:basedOn w:val="1"/>
    <w:link w:val="26"/>
    <w:qFormat/>
    <w:uiPriority w:val="0"/>
    <w:pPr>
      <w:spacing w:line="240" w:lineRule="auto"/>
      <w:jc w:val="both"/>
    </w:pPr>
    <w:rPr>
      <w:rFonts w:ascii="Calibri" w:hAnsi="Calibri" w:cs="Calibri"/>
    </w:rPr>
  </w:style>
  <w:style w:type="character" w:customStyle="1" w:styleId="26">
    <w:name w:val="EndNote Bibliography Char"/>
    <w:basedOn w:val="12"/>
    <w:link w:val="25"/>
    <w:qFormat/>
    <w:uiPriority w:val="0"/>
    <w:rPr>
      <w:rFonts w:ascii="Calibri" w:hAnsi="Calibri" w:cs="Calibri"/>
    </w:rPr>
  </w:style>
  <w:style w:type="character" w:customStyle="1" w:styleId="27">
    <w:name w:val="批注文字 字符"/>
    <w:basedOn w:val="12"/>
    <w:link w:val="4"/>
    <w:qFormat/>
    <w:uiPriority w:val="99"/>
    <w:rPr>
      <w:sz w:val="20"/>
      <w:szCs w:val="20"/>
    </w:rPr>
  </w:style>
  <w:style w:type="character" w:customStyle="1" w:styleId="28">
    <w:name w:val="批注主题 字符"/>
    <w:basedOn w:val="27"/>
    <w:link w:val="10"/>
    <w:semiHidden/>
    <w:qFormat/>
    <w:uiPriority w:val="99"/>
    <w:rPr>
      <w:b/>
      <w:bCs/>
      <w:sz w:val="20"/>
      <w:szCs w:val="20"/>
    </w:rPr>
  </w:style>
  <w:style w:type="character" w:customStyle="1" w:styleId="29">
    <w:name w:val="current-selection"/>
    <w:basedOn w:val="12"/>
    <w:qFormat/>
    <w:uiPriority w:val="0"/>
  </w:style>
  <w:style w:type="character" w:customStyle="1" w:styleId="30">
    <w:name w:val="search-result"/>
    <w:basedOn w:val="12"/>
    <w:qFormat/>
    <w:uiPriority w:val="0"/>
  </w:style>
  <w:style w:type="character" w:customStyle="1" w:styleId="31">
    <w:name w:val="明显强调1"/>
    <w:basedOn w:val="12"/>
    <w:qFormat/>
    <w:uiPriority w:val="21"/>
    <w:rPr>
      <w:i/>
      <w:iCs/>
      <w:color w:val="5B9BD5" w:themeColor="accent1"/>
      <w14:textFill>
        <w14:solidFill>
          <w14:schemeClr w14:val="accent1"/>
        </w14:solidFill>
      </w14:textFill>
    </w:rPr>
  </w:style>
  <w:style w:type="character" w:customStyle="1" w:styleId="32">
    <w:name w:val="title-text"/>
    <w:basedOn w:val="12"/>
    <w:qFormat/>
    <w:uiPriority w:val="0"/>
  </w:style>
  <w:style w:type="paragraph" w:customStyle="1" w:styleId="33">
    <w:name w:val="修订1"/>
    <w:hidden/>
    <w:semiHidden/>
    <w:qFormat/>
    <w:uiPriority w:val="99"/>
    <w:rPr>
      <w:rFonts w:asciiTheme="minorHAnsi" w:hAnsiTheme="minorHAnsi" w:eastAsiaTheme="minorEastAsia" w:cstheme="minorBidi"/>
      <w:sz w:val="22"/>
      <w:szCs w:val="22"/>
      <w:lang w:val="en-AU" w:eastAsia="zh-CN" w:bidi="ar-SA"/>
    </w:rPr>
  </w:style>
  <w:style w:type="paragraph" w:customStyle="1" w:styleId="34">
    <w:name w:val="暑期调研正文"/>
    <w:basedOn w:val="1"/>
    <w:qFormat/>
    <w:uiPriority w:val="0"/>
    <w:pPr>
      <w:spacing w:line="400" w:lineRule="exact"/>
      <w:ind w:firstLine="480" w:firstLineChars="200"/>
    </w:pPr>
    <w:rPr>
      <w:sz w:val="24"/>
      <w:szCs w:val="24"/>
    </w:rPr>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apfs.anu.edu.au\cap_users$\u4981510\Desktop\&#38669;&#38632;&#20339;&#27605;&#19994;&#35770;&#25991;\paper3\educational%20mobilit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790021872265975"/>
          <c:y val="0.0514005540974045"/>
          <c:w val="0.720664479440078"/>
          <c:h val="0.841878827646553"/>
        </c:manualLayout>
      </c:layout>
      <c:lineChart>
        <c:grouping val="standard"/>
        <c:varyColors val="0"/>
        <c:ser>
          <c:idx val="0"/>
          <c:order val="0"/>
          <c:tx>
            <c:strRef>
              <c:f>'[educational mobility.xlsx]Sheet6'!$B$22</c:f>
              <c:strCache>
                <c:ptCount val="1"/>
                <c:pt idx="0">
                  <c:v>Nation</c:v>
                </c:pt>
              </c:strCache>
            </c:strRef>
          </c:tx>
          <c:spPr>
            <a:ln w="25400" cap="rnd" cmpd="sng" algn="ctr">
              <a:solidFill>
                <a:schemeClr val="accent1"/>
              </a:solidFill>
              <a:prstDash val="solid"/>
              <a:round/>
            </a:ln>
          </c:spPr>
          <c:dLbls>
            <c:delete val="1"/>
          </c:dLbls>
          <c:cat>
            <c:strRef>
              <c:f>'[educational mobility.xlsx]Sheet6'!$A$23:$A$26</c:f>
              <c:strCache>
                <c:ptCount val="4"/>
                <c:pt idx="0">
                  <c:v>54-63</c:v>
                </c:pt>
                <c:pt idx="1">
                  <c:v>44-53</c:v>
                </c:pt>
                <c:pt idx="2">
                  <c:v>34-43</c:v>
                </c:pt>
                <c:pt idx="3">
                  <c:v>24-33</c:v>
                </c:pt>
              </c:strCache>
            </c:strRef>
          </c:cat>
          <c:val>
            <c:numRef>
              <c:f>'[educational mobility.xlsx]Sheet6'!$B$23:$B$26</c:f>
              <c:numCache>
                <c:formatCode>General</c:formatCode>
                <c:ptCount val="4"/>
                <c:pt idx="0">
                  <c:v>0.275</c:v>
                </c:pt>
                <c:pt idx="1">
                  <c:v>0.339000000000003</c:v>
                </c:pt>
                <c:pt idx="2">
                  <c:v>0.46</c:v>
                </c:pt>
                <c:pt idx="3">
                  <c:v>0.485</c:v>
                </c:pt>
              </c:numCache>
            </c:numRef>
          </c:val>
          <c:smooth val="0"/>
        </c:ser>
        <c:ser>
          <c:idx val="1"/>
          <c:order val="1"/>
          <c:tx>
            <c:strRef>
              <c:f>'[educational mobility.xlsx]Sheet6'!$C$22</c:f>
              <c:strCache>
                <c:ptCount val="1"/>
                <c:pt idx="0">
                  <c:v>Female</c:v>
                </c:pt>
              </c:strCache>
            </c:strRef>
          </c:tx>
          <c:spPr>
            <a:ln w="25400" cap="rnd" cmpd="sng" algn="ctr">
              <a:solidFill>
                <a:schemeClr val="accent2"/>
              </a:solidFill>
              <a:prstDash val="sysDash"/>
              <a:round/>
            </a:ln>
          </c:spPr>
          <c:dLbls>
            <c:delete val="1"/>
          </c:dLbls>
          <c:cat>
            <c:strRef>
              <c:f>'[educational mobility.xlsx]Sheet6'!$A$23:$A$26</c:f>
              <c:strCache>
                <c:ptCount val="4"/>
                <c:pt idx="0">
                  <c:v>54-63</c:v>
                </c:pt>
                <c:pt idx="1">
                  <c:v>44-53</c:v>
                </c:pt>
                <c:pt idx="2">
                  <c:v>34-43</c:v>
                </c:pt>
                <c:pt idx="3">
                  <c:v>24-33</c:v>
                </c:pt>
              </c:strCache>
            </c:strRef>
          </c:cat>
          <c:val>
            <c:numRef>
              <c:f>'[educational mobility.xlsx]Sheet6'!$C$23:$C$26</c:f>
              <c:numCache>
                <c:formatCode>General</c:formatCode>
                <c:ptCount val="4"/>
                <c:pt idx="0">
                  <c:v>0.317000000000003</c:v>
                </c:pt>
                <c:pt idx="1">
                  <c:v>0.379000000000003</c:v>
                </c:pt>
                <c:pt idx="2">
                  <c:v>0.519</c:v>
                </c:pt>
                <c:pt idx="3">
                  <c:v>0.558</c:v>
                </c:pt>
              </c:numCache>
            </c:numRef>
          </c:val>
          <c:smooth val="0"/>
        </c:ser>
        <c:ser>
          <c:idx val="2"/>
          <c:order val="2"/>
          <c:tx>
            <c:strRef>
              <c:f>'[educational mobility.xlsx]Sheet6'!$D$22</c:f>
              <c:strCache>
                <c:ptCount val="1"/>
                <c:pt idx="0">
                  <c:v>Male</c:v>
                </c:pt>
              </c:strCache>
            </c:strRef>
          </c:tx>
          <c:spPr>
            <a:ln w="25400" cap="rnd" cmpd="sng" algn="ctr">
              <a:solidFill>
                <a:schemeClr val="accent3"/>
              </a:solidFill>
              <a:prstDash val="lgDash"/>
              <a:round/>
            </a:ln>
          </c:spPr>
          <c:dLbls>
            <c:delete val="1"/>
          </c:dLbls>
          <c:cat>
            <c:strRef>
              <c:f>'[educational mobility.xlsx]Sheet6'!$A$23:$A$26</c:f>
              <c:strCache>
                <c:ptCount val="4"/>
                <c:pt idx="0">
                  <c:v>54-63</c:v>
                </c:pt>
                <c:pt idx="1">
                  <c:v>44-53</c:v>
                </c:pt>
                <c:pt idx="2">
                  <c:v>34-43</c:v>
                </c:pt>
                <c:pt idx="3">
                  <c:v>24-33</c:v>
                </c:pt>
              </c:strCache>
            </c:strRef>
          </c:cat>
          <c:val>
            <c:numRef>
              <c:f>'[educational mobility.xlsx]Sheet6'!$D$23:$D$26</c:f>
              <c:numCache>
                <c:formatCode>General</c:formatCode>
                <c:ptCount val="4"/>
                <c:pt idx="0">
                  <c:v>0.242</c:v>
                </c:pt>
                <c:pt idx="1">
                  <c:v>0.292</c:v>
                </c:pt>
                <c:pt idx="2">
                  <c:v>0.405</c:v>
                </c:pt>
                <c:pt idx="3">
                  <c:v>0.407</c:v>
                </c:pt>
              </c:numCache>
            </c:numRef>
          </c:val>
          <c:smooth val="0"/>
        </c:ser>
        <c:dLbls>
          <c:showLegendKey val="0"/>
          <c:showVal val="0"/>
          <c:showCatName val="0"/>
          <c:showSerName val="0"/>
          <c:showPercent val="0"/>
          <c:showBubbleSize val="0"/>
        </c:dLbls>
        <c:marker val="1"/>
        <c:smooth val="0"/>
        <c:axId val="39777024"/>
        <c:axId val="42996096"/>
      </c:lineChart>
      <c:catAx>
        <c:axId val="39777024"/>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42996096"/>
        <c:crosses val="autoZero"/>
        <c:auto val="1"/>
        <c:lblAlgn val="ctr"/>
        <c:lblOffset val="100"/>
        <c:noMultiLvlLbl val="0"/>
      </c:catAx>
      <c:valAx>
        <c:axId val="42996096"/>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9777024"/>
        <c:crosses val="autoZero"/>
        <c:crossBetween val="between"/>
      </c:valAx>
      <c:spPr>
        <a:noFill/>
        <a:ln>
          <a:noFill/>
        </a:ln>
      </c:spPr>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spPr>
    <a:noFill/>
    <a:ln w="6350" cap="flat" cmpd="sng" algn="ctr">
      <a:noFill/>
      <a:prstDash val="solid"/>
      <a:round/>
    </a:ln>
  </c:spPr>
  <c:txPr>
    <a:bodyPr/>
    <a:lstStyle/>
    <a:p>
      <a:pPr>
        <a:defRPr lang="zh-CN"/>
      </a:pP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556FE-F20F-471E-AE8F-6A4165EBB600}">
  <ds:schemaRefs/>
</ds:datastoreItem>
</file>

<file path=docProps/app.xml><?xml version="1.0" encoding="utf-8"?>
<Properties xmlns="http://schemas.openxmlformats.org/officeDocument/2006/extended-properties" xmlns:vt="http://schemas.openxmlformats.org/officeDocument/2006/docPropsVTypes">
  <Template>Normal</Template>
  <Company>The Australian National University</Company>
  <Pages>4</Pages>
  <Words>666</Words>
  <Characters>2842</Characters>
  <Lines>32</Lines>
  <Paragraphs>9</Paragraphs>
  <TotalTime>12</TotalTime>
  <ScaleCrop>false</ScaleCrop>
  <LinksUpToDate>false</LinksUpToDate>
  <CharactersWithSpaces>3380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2023-04-13T03:38:00Z</dcterms:created>
  <dc:creator>Yujia Huo</dc:creator>
  <cp:lastModifiedBy>administrator</cp:lastModifiedBy>
  <dcterms:modified xsi:type="dcterms:W3CDTF">2023-04-14T08:47:32Z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70A8B6CBE9C74FEEAFA4349C544F20E4_13</vt:lpwstr>
  </property>
</Properties>
</file>